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5976-26</w:t>
      </w:r>
      <w:r>
        <w:rPr>
          <w:lang w:val="es-AR" w:eastAsia="es-AR" w:bidi="es-AR"/>
        </w:rPr>
        <w:t xml:space="preserve"> caratulada </w:t>
      </w:r>
      <w:r>
        <w:rPr>
          <w:b/>
          <w:lang w:val="es-AR" w:eastAsia="es-AR" w:bidi="es-AR"/>
        </w:rPr>
        <w:t xml:space="preserve">"</w:t>
      </w:r>
      <w:r>
        <w:rPr>
          <w:b/>
          <w:color w:val="000000"/>
          <w:lang w:val="es-AR" w:eastAsia="es-AR" w:bidi="es-AR"/>
        </w:rPr>
        <w:t xml:space="preserve">LOMBARDI SILVIA BEATRIZ Y OTRO/A  C/ LUNA JOA S.A. S/ DAÑOS Y PERJ. INCUMP. CONTRACTUAL (EXC. ESTADO)</w:t>
      </w:r>
      <w:r>
        <w:rPr>
          <w:b/>
          <w:lang w:val="es-AR" w:eastAsia="es-AR" w:bidi="es-AR"/>
        </w:rPr>
        <w:t xml:space="preserve">"</w:t>
      </w:r>
      <w:r>
        <w:rPr>
          <w:lang w:val="es-AR" w:eastAsia="es-AR" w:bidi="es-AR"/>
        </w:rPr>
        <w:t xml:space="preserve">, Expte. </w:t>
      </w:r>
      <w:r>
        <w:rPr>
          <w:color w:val="000000"/>
          <w:lang w:val="es-AR" w:eastAsia="es-AR" w:bidi="es-AR"/>
        </w:rPr>
        <w:t xml:space="preserve">79.852</w:t>
      </w:r>
      <w:r>
        <w:rPr>
          <w:color w:val="000000"/>
          <w:lang w:val="es-AR" w:eastAsia="es-AR" w:bidi="es-AR"/>
        </w:rPr>
        <w:t xml:space="preserve"> </w:t>
      </w:r>
      <w:r>
        <w:rPr>
          <w:lang w:val="es-AR" w:eastAsia="es-AR" w:bidi="es-AR"/>
        </w:rPr>
        <w:t xml:space="preserve">del Juzgado en lo Civil y Comercial n° 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b/>
          <w:lang w:val="es-AR" w:eastAsia="es-AR" w:bidi="es-AR"/>
        </w:rPr>
        <w:t xml:space="preserve">I. Antecedentes</w:t>
      </w:r>
    </w:p>
    <w:p>
      <w:pPr>
        <w:pStyle w:val="[Normal]"/>
        <w:spacing w:line="360" w:lineRule="auto"/>
        <w:ind w:firstLine="1134"/>
        <w:jc w:val="both"/>
        <w:rPr>
          <w:lang w:val="es-AR" w:eastAsia="es-AR" w:bidi="es-AR"/>
        </w:rPr>
      </w:pPr>
      <w:r>
        <w:rPr>
          <w:lang w:val="es-AR" w:eastAsia="es-AR" w:bidi="es-AR"/>
        </w:rPr>
        <w:t xml:space="preserve">El juez de grado resolvió homologar el acuerdo celebrado entre las partes en audiencia de vista de causa de fecha 4/12/25, imponiendo las costas a la parte demandada conforme lo pactado.</w:t>
      </w:r>
    </w:p>
    <w:p>
      <w:pPr>
        <w:pStyle w:val="[Normal]"/>
        <w:spacing w:line="360" w:lineRule="auto"/>
        <w:ind w:firstLine="1134"/>
        <w:jc w:val="both"/>
        <w:rPr>
          <w:lang w:val="es-AR" w:eastAsia="es-AR" w:bidi="es-AR"/>
        </w:rPr>
      </w:pPr>
      <w:r>
        <w:rPr>
          <w:lang w:val="es-AR" w:eastAsia="es-AR" w:bidi="es-AR"/>
        </w:rPr>
        <w:t xml:space="preserve">Asimismo aclaró que a los fines regulatorios, el monto en dólares consignado en la pericia de tasación de fecha 2/12/25 es convertido a moneda de curso legal conforme cotización oficial del Banco de la Nación Argentina al día del decisorio.</w:t>
      </w:r>
    </w:p>
    <w:p>
      <w:pPr>
        <w:pStyle w:val="[Normal]"/>
        <w:spacing w:line="360" w:lineRule="auto"/>
        <w:ind w:firstLine="1134"/>
        <w:jc w:val="both"/>
        <w:rPr>
          <w:lang w:val="es-AR" w:eastAsia="es-AR" w:bidi="es-AR"/>
        </w:rPr>
      </w:pPr>
      <w:r>
        <w:rPr>
          <w:lang w:val="es-AR" w:eastAsia="es-AR" w:bidi="es-AR"/>
        </w:rPr>
        <w:t xml:space="preserve">En dicho marco, reguló los honorarios profesionales de los letrados intervinientes, teniendo en cuenta lo convenido por las partes y tomando como base regulatoria la tasación de referencia, con cita de la normativa aplicable. Asimismo, fijó los estipendios del perito martillero y del mediador judicial intervinientes.</w:t>
      </w:r>
    </w:p>
    <w:p>
      <w:pPr>
        <w:pStyle w:val="[Normal]"/>
        <w:spacing w:line="360" w:lineRule="auto"/>
        <w:ind w:firstLine="1134"/>
        <w:jc w:val="both"/>
        <w:rPr>
          <w:lang w:val="es-AR" w:eastAsia="es-AR" w:bidi="es-AR"/>
        </w:rPr>
      </w:pPr>
      <w:r>
        <w:rPr>
          <w:lang w:val="es-AR" w:eastAsia="es-AR" w:bidi="es-AR"/>
        </w:rPr>
        <w:t xml:space="preserve">Contra dicho pronunciamiento, la parte demandada interpuso con fecha 16/12/25 recurso de nulidad y apelación en subsidio.</w:t>
      </w:r>
    </w:p>
    <w:p>
      <w:pPr>
        <w:pStyle w:val="[Normal]"/>
        <w:spacing w:line="360" w:lineRule="auto"/>
        <w:ind w:firstLine="1134"/>
        <w:jc w:val="both"/>
        <w:rPr>
          <w:lang w:val="es-AR" w:eastAsia="es-AR" w:bidi="es-AR"/>
        </w:rPr>
      </w:pPr>
      <w:r>
        <w:rPr>
          <w:lang w:val="es-AR" w:eastAsia="es-AR" w:bidi="es-AR"/>
        </w:rPr>
        <w:t xml:space="preserve">En la misma fecha, el magistrado de origen desestimó el planteo de nulidad y concedió el recurso de apelación interpuesto en subsidio.</w:t>
      </w:r>
    </w:p>
    <w:p>
      <w:pPr>
        <w:pStyle w:val="[Normal]"/>
        <w:spacing w:line="360" w:lineRule="auto"/>
        <w:ind w:firstLine="1134"/>
        <w:jc w:val="both"/>
        <w:rPr>
          <w:lang w:val="es-AR" w:eastAsia="es-AR" w:bidi="es-AR"/>
        </w:rPr>
      </w:pPr>
      <w:r>
        <w:rPr>
          <w:lang w:val="es-AR" w:eastAsia="es-AR" w:bidi="es-AR"/>
        </w:rPr>
        <w:t xml:space="preserve">El letrado de la actora y el mediador interviniente contestaron los traslados conferidos los días 22/12/25 y 7/1/26, respectivamente.</w:t>
      </w:r>
    </w:p>
    <w:p>
      <w:pPr>
        <w:pStyle w:val="[Normal]"/>
        <w:spacing w:line="360" w:lineRule="auto"/>
        <w:ind w:firstLine="1134"/>
        <w:jc w:val="both"/>
        <w:rPr>
          <w:lang w:val="es-AR" w:eastAsia="es-AR" w:bidi="es-AR"/>
        </w:rPr>
      </w:pPr>
      <w:r>
        <w:rPr>
          <w:lang w:val="es-AR" w:eastAsia="es-AR" w:bidi="es-AR"/>
        </w:rPr>
        <w:t xml:space="preserve">Elevados los autos a esta Alzada con fecha 19/2/26, y firme el llamamiento de autos, la causa se encuentra en estado de ser resuelta.</w:t>
      </w:r>
    </w:p>
    <w:p>
      <w:pPr>
        <w:pStyle w:val="[Normal]"/>
        <w:spacing w:line="360" w:lineRule="auto"/>
        <w:ind w:firstLine="1134"/>
        <w:jc w:val="both"/>
        <w:rPr>
          <w:lang w:val="es-AR" w:eastAsia="es-AR" w:bidi="es-AR"/>
        </w:rPr>
      </w:pPr>
      <w:r>
        <w:rPr>
          <w:b/>
          <w:lang w:val="es-AR" w:eastAsia="es-AR" w:bidi="es-AR"/>
        </w:rPr>
        <w:t xml:space="preserve">II. Agravios</w:t>
      </w:r>
    </w:p>
    <w:p>
      <w:pPr>
        <w:pStyle w:val="[Normal]"/>
        <w:spacing w:line="360" w:lineRule="auto"/>
        <w:ind w:firstLine="1134"/>
        <w:jc w:val="both"/>
        <w:rPr>
          <w:lang w:val="es-AR" w:eastAsia="es-AR" w:bidi="es-AR"/>
        </w:rPr>
      </w:pPr>
      <w:r>
        <w:rPr>
          <w:lang w:val="es-AR" w:eastAsia="es-AR" w:bidi="es-AR"/>
        </w:rPr>
        <w:t xml:space="preserve">La parte recurrente cuestiona la validez del pronunciamiento arancelario por considerar que ha sido dictado sobre una base económica errónea y, asimismo, que fijó honorarios desproporcionados en relación con las tareas desarrolladas por los profesionales intervinientes, con afectación de garantías constitucionales de propiedad y defensa en juicio, solicitando su nulidad y, subsidiariamente, su modificación.</w:t>
      </w:r>
    </w:p>
    <w:p>
      <w:pPr>
        <w:pStyle w:val="[Normal]"/>
        <w:spacing w:line="360" w:lineRule="auto"/>
        <w:ind w:firstLine="1134"/>
        <w:jc w:val="both"/>
        <w:rPr>
          <w:lang w:val="es-AR" w:eastAsia="es-AR" w:bidi="es-AR"/>
        </w:rPr>
      </w:pPr>
      <w:r>
        <w:rPr>
          <w:lang w:val="es-AR" w:eastAsia="es-AR" w:bidi="es-AR"/>
        </w:rPr>
        <w:t xml:space="preserve">En lo sustancial, sostiene que la base regulatoria utilizada no se condice con la realidad del acuerdo conciliatorio arribado entre las partes. Afirma que el inmueble objeto del proceso se encontraba siempre a disposición de las actoras, quienes habrían sido notificadas para su escrituración y toma de posesión con anterioridad al inicio del litigio, por lo que -según su postura- el conflicto se habría circunscripto exclusivamente a la reparación por la demora en la entrega del bien.</w:t>
      </w:r>
    </w:p>
    <w:p>
      <w:pPr>
        <w:pStyle w:val="[Normal]"/>
        <w:spacing w:line="360" w:lineRule="auto"/>
        <w:ind w:firstLine="1134"/>
        <w:jc w:val="both"/>
        <w:rPr>
          <w:lang w:val="es-AR" w:eastAsia="es-AR" w:bidi="es-AR"/>
        </w:rPr>
      </w:pPr>
      <w:r>
        <w:rPr>
          <w:lang w:val="es-AR" w:eastAsia="es-AR" w:bidi="es-AR"/>
        </w:rPr>
        <w:t xml:space="preserve">En ese marco, indica que el acuerdo conciliatorio habría consistido en el pago de una suma de dinero y la entrega de una cochera, estimando el resarcimiento total en aproximadamente $11.500.000, suma que -a su entender- debió constituir la única base regulatoria válida.</w:t>
      </w:r>
    </w:p>
    <w:p>
      <w:pPr>
        <w:pStyle w:val="[Normal]"/>
        <w:spacing w:line="360" w:lineRule="auto"/>
        <w:ind w:firstLine="1134"/>
        <w:jc w:val="both"/>
        <w:rPr>
          <w:lang w:val="es-AR" w:eastAsia="es-AR" w:bidi="es-AR"/>
        </w:rPr>
      </w:pPr>
      <w:r>
        <w:rPr>
          <w:lang w:val="es-AR" w:eastAsia="es-AR" w:bidi="es-AR"/>
        </w:rPr>
        <w:t xml:space="preserve">Por otra parte, sostiene que los honorarios fijados a los profesionales intervinientes resultan desproporcionados en relación con la entidad económica del proceso y las tareas efectivamente desarrolladas, mencionando en particular que el perito habría efectuado una única pericia y que el mediador habría intervenido en dos audiencias sin resultado conciliatorio previo.</w:t>
      </w:r>
    </w:p>
    <w:p>
      <w:pPr>
        <w:pStyle w:val="[Normal]"/>
        <w:spacing w:line="360" w:lineRule="auto"/>
        <w:ind w:firstLine="1134"/>
        <w:jc w:val="both"/>
        <w:rPr>
          <w:lang w:val="es-AR" w:eastAsia="es-AR" w:bidi="es-AR"/>
        </w:rPr>
      </w:pPr>
      <w:r>
        <w:rPr>
          <w:lang w:val="es-AR" w:eastAsia="es-AR" w:bidi="es-AR"/>
        </w:rPr>
        <w:t xml:space="preserve">En lo atinente al letrado Valenti, afirma que la resolución habría prescindido del acuerdo invocado en audiencia, conforme el cual los honorarios se habrían pactado en un veinte por ciento (20%) de la base regulatoria, lo que -según expone- equivaldría a aproximadamente 52 jus conforme la base que propone, circunstancia que no habría sido debidamente reflejada en el acta respectiva.</w:t>
      </w:r>
    </w:p>
    <w:p>
      <w:pPr>
        <w:pStyle w:val="[Normal]"/>
        <w:spacing w:line="360" w:lineRule="auto"/>
        <w:ind w:firstLine="1134"/>
        <w:jc w:val="both"/>
        <w:rPr>
          <w:lang w:val="es-AR" w:eastAsia="es-AR" w:bidi="es-AR"/>
        </w:rPr>
      </w:pPr>
      <w:r>
        <w:rPr>
          <w:lang w:val="es-AR" w:eastAsia="es-AR" w:bidi="es-AR"/>
        </w:rPr>
        <w:t xml:space="preserve">En ese contexto, cita los arts. 15 y 16 de la Ley 14.967 en apoyo de su postura vinculada a la desproporción de los honorarios regulados, para luego concluir que la suma de los estipendios fijados excedería los parámetros de razonabilidad, configurando -a su entender- una desproporción con relación a la base económica del litigio y a la labor efectivamente desarrollada por cada profesional interviniente, con eventual enriquecimiento sin causa.</w:t>
      </w:r>
    </w:p>
    <w:p>
      <w:pPr>
        <w:pStyle w:val="[Normal]"/>
        <w:spacing w:line="360" w:lineRule="auto"/>
        <w:ind w:firstLine="1134"/>
        <w:jc w:val="both"/>
        <w:rPr>
          <w:lang w:val="es-AR" w:eastAsia="es-AR" w:bidi="es-AR"/>
        </w:rPr>
      </w:pPr>
      <w:r>
        <w:rPr>
          <w:lang w:val="es-AR" w:eastAsia="es-AR" w:bidi="es-AR"/>
        </w:rPr>
        <w:t xml:space="preserve">Finalmente, solicita se deje sin efecto la resolución apelada y se proceda a una nueva regulación de honorarios tomando como base el monto que estima correcto del acuerdo conciliatorio -suma dineraria más cochera-, con costas a la contraria.</w:t>
      </w:r>
    </w:p>
    <w:p>
      <w:pPr>
        <w:pStyle w:val="[Normal]"/>
        <w:spacing w:line="360" w:lineRule="auto"/>
        <w:ind w:firstLine="1134"/>
        <w:jc w:val="both"/>
        <w:rPr>
          <w:lang w:val="es-AR" w:eastAsia="es-AR" w:bidi="es-AR"/>
        </w:rPr>
      </w:pPr>
      <w:r>
        <w:rPr>
          <w:b/>
          <w:lang w:val="es-AR" w:eastAsia="es-AR" w:bidi="es-AR"/>
        </w:rPr>
        <w:t xml:space="preserve">III. Contestación de agravios Dr. Valenti</w:t>
      </w:r>
    </w:p>
    <w:p>
      <w:pPr>
        <w:pStyle w:val="[Normal]"/>
        <w:spacing w:line="360" w:lineRule="auto"/>
        <w:ind w:firstLine="1134"/>
        <w:jc w:val="both"/>
        <w:rPr>
          <w:lang w:val="es-AR" w:eastAsia="es-AR" w:bidi="es-AR"/>
        </w:rPr>
      </w:pPr>
      <w:r>
        <w:rPr>
          <w:lang w:val="es-AR" w:eastAsia="es-AR" w:bidi="es-AR"/>
        </w:rPr>
        <w:t xml:space="preserve">El letrado de la parte actora contesta los agravios solicitando su rechazo y la confirmación íntegra de la resolución apelada, con costas a la recurrente.</w:t>
      </w:r>
    </w:p>
    <w:p>
      <w:pPr>
        <w:pStyle w:val="[Normal]"/>
        <w:spacing w:line="360" w:lineRule="auto"/>
        <w:ind w:firstLine="1134"/>
        <w:jc w:val="both"/>
        <w:rPr>
          <w:lang w:val="es-AR" w:eastAsia="es-AR" w:bidi="es-AR"/>
        </w:rPr>
      </w:pPr>
      <w:r>
        <w:rPr>
          <w:lang w:val="es-AR" w:eastAsia="es-AR" w:bidi="es-AR"/>
        </w:rPr>
        <w:t xml:space="preserve">Sostiene la validez de la regulación de honorarios, en tanto la base económica del proceso ha sido correctamente determinada a partir del contenido obligacional comprometido en autos, el cual no se agota en una prestación dineraria sino que comprende una obligación de hacer vinculada a la entrega de una unidad funcional, más los daños y perjuicios reclamados.</w:t>
      </w:r>
    </w:p>
    <w:p>
      <w:pPr>
        <w:pStyle w:val="[Normal]"/>
        <w:spacing w:line="360" w:lineRule="auto"/>
        <w:ind w:firstLine="1134"/>
        <w:jc w:val="both"/>
        <w:rPr>
          <w:lang w:val="es-AR" w:eastAsia="es-AR" w:bidi="es-AR"/>
        </w:rPr>
      </w:pPr>
      <w:r>
        <w:rPr>
          <w:lang w:val="es-AR" w:eastAsia="es-AR" w:bidi="es-AR"/>
        </w:rPr>
        <w:t xml:space="preserve">Afirma que el acuerdo homologado de fecha 4/12/2025 importa una solución integral del conflicto, que incluyó la entrega del inmueble, una cochera y una suma de dinero, configurando de ese modo el contenido económico relevante a los fines regulatorios.</w:t>
      </w:r>
    </w:p>
    <w:p>
      <w:pPr>
        <w:pStyle w:val="[Normal]"/>
        <w:spacing w:line="360" w:lineRule="auto"/>
        <w:ind w:firstLine="1134"/>
        <w:jc w:val="both"/>
        <w:rPr>
          <w:lang w:val="es-AR" w:eastAsia="es-AR" w:bidi="es-AR"/>
        </w:rPr>
      </w:pPr>
      <w:r>
        <w:rPr>
          <w:lang w:val="es-AR" w:eastAsia="es-AR" w:bidi="es-AR"/>
        </w:rPr>
        <w:t xml:space="preserve">Señala que la base adoptada por el magistrado de grado encuentra sustento en la tasación pericial obrante en autos y en la normativa arancelaria vigente.</w:t>
      </w:r>
    </w:p>
    <w:p>
      <w:pPr>
        <w:pStyle w:val="[Normal]"/>
        <w:spacing w:line="360" w:lineRule="auto"/>
        <w:ind w:firstLine="1134"/>
        <w:jc w:val="both"/>
        <w:rPr>
          <w:lang w:val="es-AR" w:eastAsia="es-AR" w:bidi="es-AR"/>
        </w:rPr>
      </w:pPr>
      <w:r>
        <w:rPr>
          <w:lang w:val="es-AR" w:eastAsia="es-AR" w:bidi="es-AR"/>
        </w:rPr>
        <w:t xml:space="preserve">Rechaza el agravio relativo a la desproporción de los honorarios, afirmando que los mismos se ajustan a las pautas de la Ley 14.967 y a la efectiva labor profesional desplegada en el proceso. En particular, respecto de sus propios estipendios, destaca que fueron fijados conforme lo convenido en audiencia y con expresa conformidad de las partes, según surge del acta respectiva.</w:t>
      </w:r>
    </w:p>
    <w:p>
      <w:pPr>
        <w:pStyle w:val="[Normal]"/>
        <w:spacing w:line="360" w:lineRule="auto"/>
        <w:ind w:firstLine="1134"/>
        <w:jc w:val="both"/>
        <w:rPr>
          <w:lang w:val="es-AR" w:eastAsia="es-AR" w:bidi="es-AR"/>
        </w:rPr>
      </w:pPr>
      <w:r>
        <w:rPr>
          <w:lang w:val="es-AR" w:eastAsia="es-AR" w:bidi="es-AR"/>
        </w:rPr>
        <w:t xml:space="preserve">Niega la existencia de afectación constitucional o normativa, resaltando la debida fundamentación del pronunciamiento.</w:t>
      </w:r>
    </w:p>
    <w:p>
      <w:pPr>
        <w:pStyle w:val="[Normal]"/>
        <w:spacing w:line="360" w:lineRule="auto"/>
        <w:ind w:firstLine="1134"/>
        <w:jc w:val="both"/>
        <w:rPr>
          <w:lang w:val="es-AR" w:eastAsia="es-AR" w:bidi="es-AR"/>
        </w:rPr>
      </w:pPr>
      <w:r>
        <w:rPr>
          <w:lang w:val="es-AR" w:eastAsia="es-AR" w:bidi="es-AR"/>
        </w:rPr>
        <w:t xml:space="preserve">Finalmente, solicita se rechace el recurso y se impongan las costas a la apelante, con aplicación del art. 45 del CPCC por temeridad y malicia.</w:t>
      </w:r>
    </w:p>
    <w:p>
      <w:pPr>
        <w:pStyle w:val="[Normal]"/>
        <w:spacing w:line="360" w:lineRule="auto"/>
        <w:ind w:firstLine="1134"/>
        <w:jc w:val="both"/>
        <w:rPr>
          <w:lang w:val="es-AR" w:eastAsia="es-AR" w:bidi="es-AR"/>
        </w:rPr>
      </w:pPr>
      <w:r>
        <w:rPr>
          <w:b/>
          <w:lang w:val="es-AR" w:eastAsia="es-AR" w:bidi="es-AR"/>
        </w:rPr>
        <w:t xml:space="preserve">IV. Contestación de agravios Mediador Dr. Loza</w:t>
      </w:r>
    </w:p>
    <w:p>
      <w:pPr>
        <w:pStyle w:val="[Normal]"/>
        <w:spacing w:line="360" w:lineRule="auto"/>
        <w:ind w:firstLine="1134"/>
        <w:jc w:val="both"/>
        <w:rPr>
          <w:lang w:val="es-AR" w:eastAsia="es-AR" w:bidi="es-AR"/>
        </w:rPr>
      </w:pPr>
      <w:r>
        <w:rPr>
          <w:lang w:val="es-AR" w:eastAsia="es-AR" w:bidi="es-AR"/>
        </w:rPr>
        <w:t xml:space="preserve">El mediador judicial interviniente solicita el rechazo del recurso y la confirmación íntegra de la resolución apelada, en especial en lo relativo a sus honorarios.</w:t>
      </w:r>
    </w:p>
    <w:p>
      <w:pPr>
        <w:pStyle w:val="[Normal]"/>
        <w:spacing w:line="360" w:lineRule="auto"/>
        <w:ind w:firstLine="1134"/>
        <w:jc w:val="both"/>
        <w:rPr>
          <w:lang w:val="es-AR" w:eastAsia="es-AR" w:bidi="es-AR"/>
        </w:rPr>
      </w:pPr>
      <w:r>
        <w:rPr>
          <w:lang w:val="es-AR" w:eastAsia="es-AR" w:bidi="es-AR"/>
        </w:rPr>
        <w:t xml:space="preserve">Adhiere a los fundamentos expuestos por la parte actora, y sostiene la improcedencia del planteo de nulidad, afirmando que la demandada prestó conformidad al acuerdo celebrado en audiencia, lo que impide su ulterior cuestionamiento en virtud de la doctrina de los actos propios.</w:t>
      </w:r>
    </w:p>
    <w:p>
      <w:pPr>
        <w:pStyle w:val="[Normal]"/>
        <w:spacing w:line="360" w:lineRule="auto"/>
        <w:ind w:firstLine="1134"/>
        <w:jc w:val="both"/>
        <w:rPr>
          <w:lang w:val="es-AR" w:eastAsia="es-AR" w:bidi="es-AR"/>
        </w:rPr>
      </w:pPr>
      <w:r>
        <w:rPr>
          <w:lang w:val="es-AR" w:eastAsia="es-AR" w:bidi="es-AR"/>
        </w:rPr>
        <w:t xml:space="preserve">Defiende la corrección de la base regulatoria adoptada, sustentada en la tasación pericial incorporada al expediente, la cual refleja el valor económico del conflicto y del acuerdo alcanzado.</w:t>
      </w:r>
    </w:p>
    <w:p>
      <w:pPr>
        <w:pStyle w:val="[Normal]"/>
        <w:spacing w:line="360" w:lineRule="auto"/>
        <w:ind w:firstLine="1134"/>
        <w:jc w:val="both"/>
        <w:rPr>
          <w:lang w:val="es-AR" w:eastAsia="es-AR" w:bidi="es-AR"/>
        </w:rPr>
      </w:pPr>
      <w:r>
        <w:rPr>
          <w:lang w:val="es-AR" w:eastAsia="es-AR" w:bidi="es-AR"/>
        </w:rPr>
        <w:t xml:space="preserve">Afirma que sus honorarios han sido fijados conforme la Ley 13.951 y su decreto reglamentario, dentro de la escala legal aplicable, destacando su naturaleza alimentaria.</w:t>
      </w:r>
    </w:p>
    <w:p>
      <w:pPr>
        <w:pStyle w:val="[Normal]"/>
        <w:spacing w:line="360" w:lineRule="auto"/>
        <w:ind w:firstLine="1134"/>
        <w:jc w:val="both"/>
        <w:rPr>
          <w:b/>
          <w:lang w:val="es-AR" w:eastAsia="es-AR" w:bidi="es-AR"/>
        </w:rPr>
      </w:pPr>
      <w:r>
        <w:rPr>
          <w:lang w:val="es-AR" w:eastAsia="es-AR" w:bidi="es-AR"/>
        </w:rPr>
        <w:t xml:space="preserve">Solicita la imposición de costas a la recurrente y la aplicación del art. 45 CPCC, por considerar configurada conducta dilatoria.</w:t>
      </w:r>
    </w:p>
    <w:p>
      <w:pPr>
        <w:pStyle w:val="[Normal]"/>
        <w:spacing w:line="360" w:lineRule="auto"/>
        <w:ind w:firstLine="1134"/>
        <w:jc w:val="both"/>
        <w:rPr>
          <w:lang w:val="es-AR" w:eastAsia="es-AR" w:bidi="es-AR"/>
        </w:rPr>
      </w:pPr>
      <w:r>
        <w:rPr>
          <w:b/>
          <w:lang w:val="es-AR" w:eastAsia="es-AR" w:bidi="es-AR"/>
        </w:rPr>
        <w:t xml:space="preserve">V. Tratamiento de las cuestiones</w:t>
      </w:r>
    </w:p>
    <w:p>
      <w:pPr>
        <w:pStyle w:val="[Normal]"/>
        <w:spacing w:line="360" w:lineRule="auto"/>
        <w:ind w:firstLine="1134"/>
        <w:jc w:val="both"/>
        <w:rPr>
          <w:lang w:val="es-AR" w:eastAsia="es-AR" w:bidi="es-AR"/>
        </w:rPr>
      </w:pPr>
      <w:r>
        <w:rPr>
          <w:b/>
          <w:lang w:val="es-AR" w:eastAsia="es-AR" w:bidi="es-AR"/>
        </w:rPr>
        <w:t xml:space="preserve">1. Recurso de nulidad</w:t>
      </w:r>
    </w:p>
    <w:p>
      <w:pPr>
        <w:pStyle w:val="[Normal]"/>
        <w:spacing w:line="360" w:lineRule="auto"/>
        <w:ind w:firstLine="1134"/>
        <w:jc w:val="both"/>
        <w:rPr>
          <w:lang w:val="es-AR" w:eastAsia="es-AR" w:bidi="es-AR"/>
        </w:rPr>
      </w:pPr>
      <w:r>
        <w:rPr>
          <w:lang w:val="es-AR" w:eastAsia="es-AR" w:bidi="es-AR"/>
        </w:rPr>
        <w:t xml:space="preserve">El recurso de nulidad articulado por la demandada no puede prosperar.</w:t>
      </w:r>
    </w:p>
    <w:p>
      <w:pPr>
        <w:pStyle w:val="[Normal]"/>
        <w:spacing w:line="360" w:lineRule="auto"/>
        <w:ind w:firstLine="1134"/>
        <w:jc w:val="both"/>
        <w:rPr>
          <w:lang w:val="es-AR" w:eastAsia="es-AR" w:bidi="es-AR"/>
        </w:rPr>
      </w:pPr>
      <w:r>
        <w:rPr>
          <w:lang w:val="es-AR" w:eastAsia="es-AR" w:bidi="es-AR"/>
        </w:rPr>
        <w:t xml:space="preserve">Tal remedio contemplado en el art. 253 del C.P.C.C. se encuentra comprendido en el de apelación y se halla circunscripto a salvaguardar las exigencias formales impuestas a la sentencia (arts. 18, Const. Nac.; 15, 168 y 171, Const. Prov.; 163, C.P.C.C.). Por lo tanto, la nulidad de la sentencia sólo procede cuando la misma adolece de vicios o defectos de forma o construcción que la descalifiquen como acto jurisdiccional válido (v.gr. falta de lugar y fecha; falta de fundamentación; violación del principio de congruencia), es decir, cuando se ha dictado sin observancia de los requisitos que emanan de la ley, siempre que tales vicios no puedan ser reparados al tratarse el recurso de apelación, situación que se daría cuando esta afectada la fundamentación del decisorio de tal modo que ello se proyecta sobre la posibilidad de impugnar la misma, donde la solución nulitiva surge insoslayable (arts. 34 inc. 5, 163, 253 y 384, C.P.C.C.) (cfr. CC0201 LP 120811 296 S 10/10/2023 Juez SOSA AUBONE (SD) JUBA B259038).</w:t>
      </w:r>
    </w:p>
    <w:p>
      <w:pPr>
        <w:pStyle w:val="[Normal]"/>
        <w:spacing w:line="360" w:lineRule="auto"/>
        <w:ind w:firstLine="1134"/>
        <w:jc w:val="both"/>
        <w:rPr>
          <w:lang w:val="es-AR" w:eastAsia="es-AR" w:bidi="es-AR"/>
        </w:rPr>
      </w:pPr>
      <w:r>
        <w:rPr>
          <w:lang w:val="es-AR" w:eastAsia="es-AR" w:bidi="es-AR"/>
        </w:rPr>
        <w:t xml:space="preserve">En el caso, los agravios introducidos por la recurrente no evidencian la configuración de vicios formales de entidad suficiente que tornen procedente la nulidad articulada, sino que se limitan a cuestionar el criterio adoptado por el magistrado en la determinación de la base regulatoria y la cuantía de los honorarios, materias que resultan propias del recurso de apelación.</w:t>
      </w:r>
    </w:p>
    <w:p>
      <w:pPr>
        <w:pStyle w:val="[Normal]"/>
        <w:spacing w:line="360" w:lineRule="auto"/>
        <w:ind w:firstLine="1134"/>
        <w:jc w:val="both"/>
        <w:rPr>
          <w:lang w:val="es-AR" w:eastAsia="es-AR" w:bidi="es-AR"/>
        </w:rPr>
      </w:pPr>
      <w:r>
        <w:rPr>
          <w:lang w:val="es-AR" w:eastAsia="es-AR" w:bidi="es-AR"/>
        </w:rPr>
        <w:t xml:space="preserve">En efecto, el decisorio recurrido se encuentra debidamente fundado, con tratamiento de las cuestiones esenciales sometidas a decisión y sin que se advierta afectación del principio de congruencia ni de las formas sustanciales del pronunciamiento.</w:t>
      </w:r>
    </w:p>
    <w:p>
      <w:pPr>
        <w:pStyle w:val="[Normal]"/>
        <w:spacing w:line="360" w:lineRule="auto"/>
        <w:ind w:firstLine="1134"/>
        <w:jc w:val="both"/>
        <w:rPr>
          <w:b/>
          <w:lang w:val="es-AR" w:eastAsia="es-AR" w:bidi="es-AR"/>
        </w:rPr>
      </w:pPr>
      <w:r>
        <w:rPr>
          <w:lang w:val="es-AR" w:eastAsia="es-AR" w:bidi="es-AR"/>
        </w:rPr>
        <w:t xml:space="preserve">En consecuencia, no concurriendo los presupuestos excepcionales que habilitan la declaración de nulidad, corresponde rechazar el recurso interpuesto.</w:t>
      </w:r>
    </w:p>
    <w:p>
      <w:pPr>
        <w:pStyle w:val="[Normal]"/>
        <w:spacing w:line="360" w:lineRule="auto"/>
        <w:ind w:firstLine="1134"/>
        <w:jc w:val="both"/>
        <w:rPr>
          <w:lang w:val="es-AR" w:eastAsia="es-AR" w:bidi="es-AR"/>
        </w:rPr>
      </w:pPr>
      <w:r>
        <w:rPr>
          <w:b/>
          <w:lang w:val="es-AR" w:eastAsia="es-AR" w:bidi="es-AR"/>
        </w:rPr>
        <w:t xml:space="preserve">2. Recurso de apelación</w:t>
      </w:r>
    </w:p>
    <w:p>
      <w:pPr>
        <w:pStyle w:val="[Normal]"/>
        <w:spacing w:line="360" w:lineRule="auto"/>
        <w:ind w:firstLine="1134"/>
        <w:jc w:val="both"/>
        <w:rPr>
          <w:lang w:val="es-AR" w:eastAsia="es-AR" w:bidi="es-AR"/>
        </w:rPr>
      </w:pPr>
      <w:r>
        <w:rPr>
          <w:lang w:val="es-AR" w:eastAsia="es-AR" w:bidi="es-AR"/>
        </w:rPr>
        <w:t xml:space="preserve">Ingresando al tratamiento de la apelación subsidiariamente interpuesta, corresponde analizar la crítica central de la recurrente dirigida a cuestionar la base regulatoria adoptada en la instancia de origen.</w:t>
      </w:r>
    </w:p>
    <w:p>
      <w:pPr>
        <w:pStyle w:val="[Normal]"/>
        <w:spacing w:line="360" w:lineRule="auto"/>
        <w:ind w:firstLine="1134"/>
        <w:jc w:val="both"/>
        <w:rPr>
          <w:lang w:val="es-AR" w:eastAsia="es-AR" w:bidi="es-AR"/>
        </w:rPr>
      </w:pPr>
      <w:r>
        <w:rPr>
          <w:lang w:val="es-AR" w:eastAsia="es-AR" w:bidi="es-AR"/>
        </w:rPr>
        <w:t xml:space="preserve">La quejosa sostiene que el magistrado habría incurrido en error al incluir el valor del inmueble en la base económica del proceso, afirmando que el conflicto se habría limitado a una pretensión de contenido exclusivamente indemnizatorio, y que el acuerdo conciliatorio homologado se habría circunscripto al pago de una suma de dinero y a la entrega de una cochera, la cual -según su postura- debería constituir el único parámetro de cuantificación arancelaria.</w:t>
      </w:r>
    </w:p>
    <w:p>
      <w:pPr>
        <w:pStyle w:val="[Normal]"/>
        <w:spacing w:line="360" w:lineRule="auto"/>
        <w:ind w:firstLine="1134"/>
        <w:jc w:val="both"/>
        <w:rPr>
          <w:lang w:val="es-AR" w:eastAsia="es-AR" w:bidi="es-AR"/>
        </w:rPr>
      </w:pPr>
      <w:r>
        <w:rPr>
          <w:lang w:val="es-AR" w:eastAsia="es-AR" w:bidi="es-AR"/>
        </w:rPr>
        <w:t xml:space="preserve">No le asiste razón.</w:t>
      </w:r>
    </w:p>
    <w:p>
      <w:pPr>
        <w:pStyle w:val="[Normal]"/>
        <w:spacing w:line="360" w:lineRule="auto"/>
        <w:ind w:firstLine="1134"/>
        <w:jc w:val="both"/>
        <w:rPr>
          <w:lang w:val="es-AR" w:eastAsia="es-AR" w:bidi="es-AR"/>
        </w:rPr>
      </w:pPr>
      <w:r>
        <w:rPr>
          <w:lang w:val="es-AR" w:eastAsia="es-AR" w:bidi="es-AR"/>
        </w:rPr>
        <w:t xml:space="preserve">De las constancias de autos surge que la pretensión deducida comprendió el incumplimiento de un contrato con obligación principal de entrega de una unidad funcional, así como los daños y perjuicios derivados de dicho incumplimiento, lo que evidencia que el objeto del proceso no se agotó en una obligación dineraria, sino que involucró de manera directa la satisfacción de un interés patrimonial vinculado a la transmisión del bien comprometido contractualmente.</w:t>
      </w:r>
    </w:p>
    <w:p>
      <w:pPr>
        <w:pStyle w:val="[Normal]"/>
        <w:spacing w:line="360" w:lineRule="auto"/>
        <w:ind w:firstLine="1134"/>
        <w:jc w:val="both"/>
        <w:rPr>
          <w:lang w:val="es-AR" w:eastAsia="es-AR" w:bidi="es-AR"/>
        </w:rPr>
      </w:pPr>
      <w:r>
        <w:rPr>
          <w:lang w:val="es-AR" w:eastAsia="es-AR" w:bidi="es-AR"/>
        </w:rPr>
        <w:t xml:space="preserve">En ese marco, el acuerdo conciliatorio celebrado en audiencia y posteriormente homologado no alteró la sustancia del conflicto, sino que importó su satisfacción mediante una solución integral que comprendió la entrega del inmueble, una cochera y una suma de dinero, reflejando la continuidad del contenido económico originariamente comprometido en el litigio.</w:t>
      </w:r>
    </w:p>
    <w:p>
      <w:pPr>
        <w:pStyle w:val="[Normal]"/>
        <w:spacing w:line="360" w:lineRule="auto"/>
        <w:ind w:firstLine="1134"/>
        <w:jc w:val="both"/>
        <w:rPr>
          <w:lang w:val="es-AR" w:eastAsia="es-AR" w:bidi="es-AR"/>
        </w:rPr>
      </w:pPr>
      <w:r>
        <w:rPr>
          <w:lang w:val="es-AR" w:eastAsia="es-AR" w:bidi="es-AR"/>
        </w:rPr>
        <w:t xml:space="preserve">En tales condiciones, no resulta jurídicamente atendible la escisión del contenido económico del proceso, el que debe apreciarse en su unidad sustancial a los fines arancelarios, conforme la realidad económica del conflicto efectivamente sometido a decisión.</w:t>
      </w:r>
    </w:p>
    <w:p>
      <w:pPr>
        <w:pStyle w:val="[Normal]"/>
        <w:spacing w:line="360" w:lineRule="auto"/>
        <w:ind w:firstLine="1134"/>
        <w:jc w:val="both"/>
        <w:rPr>
          <w:lang w:val="es-AR" w:eastAsia="es-AR" w:bidi="es-AR"/>
        </w:rPr>
      </w:pPr>
      <w:r>
        <w:rPr>
          <w:lang w:val="es-AR" w:eastAsia="es-AR" w:bidi="es-AR"/>
        </w:rPr>
        <w:t xml:space="preserve">En tal sentido, la solución adoptada encuentra sustento en el art. 27 de la Ley 14.967, en cuanto establece como pauta rectora que, cuando se encuentren comprometidos derechos sobre inmuebles -incluyendo supuestos de entrega, escrituración o equivalentes económicos- la base regulatoria debe fijarse, como regla, en función del valor del bien cuando exista tasación idónea. En el caso, la tasación pericial obrante en autos constituye un parámetro objetivo suficiente para la cuantificación de la base regulatoria, en tanto refleja la entidad económica del inmueble cuya entrega integró de manera directa el objeto del proceso y fue comprendido en el acuerdo homologado.</w:t>
      </w:r>
    </w:p>
    <w:p>
      <w:pPr>
        <w:pStyle w:val="[Normal]"/>
        <w:spacing w:line="360" w:lineRule="auto"/>
        <w:ind w:firstLine="1134"/>
        <w:jc w:val="both"/>
        <w:rPr>
          <w:lang w:val="es-AR" w:eastAsia="es-AR" w:bidi="es-AR"/>
        </w:rPr>
      </w:pPr>
      <w:r>
        <w:rPr>
          <w:lang w:val="es-AR" w:eastAsia="es-AR" w:bidi="es-AR"/>
        </w:rPr>
        <w:t xml:space="preserve">Por consiguiente, la determinación efectuada por el magistrado de grado se asienta en una correcta aplicación del marco normativo arancelario, en una razonable valoración de las constancias de la causa y en la adecuada correspondencia entre el objeto del proceso y su expresión económica, sin que se advierta infracción normativa ni arbitrariedad que justifique su modificación en esta instancia.</w:t>
      </w:r>
    </w:p>
    <w:p>
      <w:pPr>
        <w:pStyle w:val="[Normal]"/>
        <w:spacing w:line="360" w:lineRule="auto"/>
        <w:ind w:firstLine="1134"/>
        <w:jc w:val="both"/>
        <w:rPr>
          <w:lang w:val="es-AR" w:eastAsia="es-AR" w:bidi="es-AR"/>
        </w:rPr>
      </w:pPr>
      <w:r>
        <w:rPr>
          <w:lang w:val="es-AR" w:eastAsia="es-AR" w:bidi="es-AR"/>
        </w:rPr>
        <w:t xml:space="preserve">Ahora bien, en lo atinente a los agravios dirigidos contra la regulación de honorarios, cabe precisar que los mismos fueron articulados bajo el argumento de su supuesta desproporción, tomando como parámetro una base económica inferior a la efectivamente considerada procedente en la sentencia apelada. En otros términos, la recurrente estructura su crítica sobre la base de un monto que no se condice con el que corresponde según el objeto del litigio y el acuerdo homologado, lo que determina el alcance de su impugnación.</w:t>
      </w:r>
    </w:p>
    <w:p>
      <w:pPr>
        <w:pStyle w:val="[Normal]"/>
        <w:spacing w:line="360" w:lineRule="auto"/>
        <w:ind w:firstLine="1134"/>
        <w:jc w:val="both"/>
        <w:rPr>
          <w:b/>
          <w:lang w:val="es-AR" w:eastAsia="es-AR" w:bidi="es-AR"/>
        </w:rPr>
      </w:pPr>
      <w:r>
        <w:rPr>
          <w:lang w:val="es-AR" w:eastAsia="es-AR" w:bidi="es-AR"/>
        </w:rPr>
        <w:t xml:space="preserve">En tales condiciones, el agravio carece de autonomía recursiva, en tanto se encuentra subordinado al cuestionamiento formulado respecto de la base regulatoria, de modo que su rechazo se impone como derivación necesaria de la solución adoptada en el punto precedente, sin que corresponda ingresar al análisis particular de la cuantía de los estipendios fijados.</w:t>
      </w:r>
    </w:p>
    <w:p>
      <w:pPr>
        <w:pStyle w:val="[Normal]"/>
        <w:spacing w:line="360" w:lineRule="auto"/>
        <w:ind w:firstLine="1134"/>
        <w:jc w:val="both"/>
        <w:rPr>
          <w:b/>
          <w:lang w:val="es-AR" w:eastAsia="es-AR" w:bidi="es-AR"/>
        </w:rPr>
      </w:pPr>
      <w:r>
        <w:rPr>
          <w:lang w:val="es-AR" w:eastAsia="es-AR" w:bidi="es-AR"/>
        </w:rPr>
        <w:t xml:space="preserve">En consecuencia, corresponde rechazar el recurso de apelación y confirmar la resolución apelada en lo que ha sido materia de agravio.</w:t>
      </w:r>
    </w:p>
    <w:p>
      <w:pPr>
        <w:pStyle w:val="[Normal]"/>
        <w:spacing w:line="360" w:lineRule="auto"/>
        <w:ind w:firstLine="1134"/>
        <w:jc w:val="both"/>
        <w:rPr>
          <w:lang w:val="es-AR" w:eastAsia="es-AR" w:bidi="es-AR"/>
        </w:rPr>
      </w:pPr>
      <w:r>
        <w:rPr>
          <w:b/>
          <w:lang w:val="es-AR" w:eastAsia="es-AR" w:bidi="es-AR"/>
        </w:rPr>
        <w:t xml:space="preserve">3. Sobre la sanción del art. 45 CPCC</w:t>
      </w:r>
    </w:p>
    <w:p>
      <w:pPr>
        <w:pStyle w:val="[Normal]"/>
        <w:spacing w:line="360" w:lineRule="auto"/>
        <w:ind w:firstLine="1134"/>
        <w:jc w:val="both"/>
        <w:rPr>
          <w:lang w:val="es-AR" w:eastAsia="es-AR" w:bidi="es-AR"/>
        </w:rPr>
      </w:pPr>
      <w:r>
        <w:rPr>
          <w:lang w:val="es-AR" w:eastAsia="es-AR" w:bidi="es-AR"/>
        </w:rPr>
        <w:t xml:space="preserve">La aplicación de sanciones por temeridad o malicia procesal constituye una facultad de carácter excepcional, que requiere la acreditación de una conducta procesal claramente abusiva, obstructiva o carente de fundamento serio.</w:t>
      </w:r>
    </w:p>
    <w:p>
      <w:pPr>
        <w:pStyle w:val="[Normal]"/>
        <w:spacing w:line="360" w:lineRule="auto"/>
        <w:ind w:firstLine="1134"/>
        <w:jc w:val="both"/>
        <w:rPr>
          <w:b/>
          <w:lang w:val="es-AR" w:eastAsia="es-AR" w:bidi="es-AR"/>
        </w:rPr>
      </w:pPr>
      <w:r>
        <w:rPr>
          <w:lang w:val="es-AR" w:eastAsia="es-AR" w:bidi="es-AR"/>
        </w:rPr>
        <w:t xml:space="preserve">En el caso, si bien los agravios no prosperan, no se advierte que la conducta de la recurrente exceda los límites del ejercicio del derecho de defensa, ni que configure un supuesto de abuso procesal que habilite la imposición de la sanción solicitada.</w:t>
      </w:r>
    </w:p>
    <w:p>
      <w:pPr>
        <w:pStyle w:val="[Normal]"/>
        <w:spacing w:line="360" w:lineRule="auto"/>
        <w:ind w:firstLine="1134"/>
        <w:jc w:val="both"/>
        <w:rPr>
          <w:lang w:val="es-AR" w:eastAsia="es-AR" w:bidi="es-AR"/>
        </w:rPr>
      </w:pPr>
      <w:r>
        <w:rPr>
          <w:lang w:val="es-AR" w:eastAsia="es-AR" w:bidi="es-AR"/>
        </w:rPr>
        <w:t xml:space="preserve">En consecuencia, corresponde rechazar también este pedido.</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w:t>
      </w:r>
    </w:p>
    <w:p>
      <w:pPr>
        <w:pStyle w:val="[Normal]"/>
        <w:spacing w:line="360" w:lineRule="auto"/>
        <w:ind w:firstLine="1134"/>
        <w:jc w:val="both"/>
        <w:rPr>
          <w:lang w:val="es-AR" w:eastAsia="es-AR" w:bidi="es-AR"/>
        </w:rPr>
      </w:pPr>
      <w:r>
        <w:rPr>
          <w:lang w:val="es-AR" w:eastAsia="es-AR" w:bidi="es-AR"/>
        </w:rPr>
        <w:t xml:space="preserve">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los recursos de nulidad y apelación interpuestos, y consecuencia confirmar la resolución del 10/12/25 en cuanto fuera materia de agravios.</w:t>
      </w:r>
    </w:p>
    <w:p>
      <w:pPr>
        <w:pStyle w:val="[Normal]"/>
        <w:spacing w:line="360" w:lineRule="auto"/>
        <w:ind w:firstLine="1134"/>
        <w:jc w:val="both"/>
        <w:rPr>
          <w:lang w:val="es-AR" w:eastAsia="es-AR" w:bidi="es-AR"/>
        </w:rPr>
      </w:pPr>
      <w:r>
        <w:rPr>
          <w:lang w:val="es-AR" w:eastAsia="es-AR" w:bidi="es-AR"/>
        </w:rPr>
        <w:t xml:space="preserve">Imponer las costas de Alzada a la parte apelante vencida (art. 68 CPCC).</w:t>
      </w:r>
    </w:p>
    <w:p>
      <w:pPr>
        <w:pStyle w:val="[Normal]"/>
        <w:spacing w:line="360" w:lineRule="auto"/>
        <w:ind w:firstLine="1134"/>
        <w:jc w:val="both"/>
        <w:rPr>
          <w:lang w:val="es-AR" w:eastAsia="es-AR" w:bidi="es-AR"/>
        </w:rPr>
      </w:pPr>
      <w:r>
        <w:rPr>
          <w:lang w:val="es-AR" w:eastAsia="es-AR" w:bidi="es-AR"/>
        </w:rPr>
        <w:t xml:space="preserve">Rechazar la aplicación del art. 45 CPCC solicitada.</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los recursos de nulidad y apelación interpuestos, y consecuencia confirmar la resolución del 10/12/25 en cuanto fuera materia de agravios.</w:t>
      </w:r>
    </w:p>
    <w:p>
      <w:pPr>
        <w:pStyle w:val="[Normal]"/>
        <w:spacing w:line="360" w:lineRule="auto"/>
        <w:ind w:firstLine="1134"/>
        <w:jc w:val="both"/>
        <w:rPr>
          <w:lang w:val="es-AR" w:eastAsia="es-AR" w:bidi="es-AR"/>
        </w:rPr>
      </w:pPr>
      <w:r>
        <w:rPr>
          <w:lang w:val="es-AR" w:eastAsia="es-AR" w:bidi="es-AR"/>
        </w:rPr>
        <w:t xml:space="preserve">Imponer las costas de Alzada a la parte apelante vencida (art. 68 CPCC).</w:t>
      </w:r>
    </w:p>
    <w:p>
      <w:pPr>
        <w:pStyle w:val="[Normal]"/>
        <w:spacing w:line="360" w:lineRule="auto"/>
        <w:ind w:firstLine="1134"/>
        <w:jc w:val="both"/>
        <w:rPr>
          <w:lang w:val="es-AR" w:eastAsia="es-AR" w:bidi="es-AR"/>
        </w:rPr>
      </w:pPr>
      <w:r>
        <w:rPr>
          <w:lang w:val="es-AR" w:eastAsia="es-AR" w:bidi="es-AR"/>
        </w:rPr>
        <w:t xml:space="preserve">Rechazar la aplicación del art. 45 CPCC solicitada.</w:t>
      </w:r>
    </w:p>
    <w:p>
      <w:pPr>
        <w:pStyle w:val="[Normal]"/>
        <w:spacing w:line="360" w:lineRule="auto"/>
        <w:ind w:firstLine="1134"/>
        <w:jc w:val="both"/>
        <w:rPr>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20230047074@NOTIFICACIONES.SCBA.GOV.AR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20316461973@NOTIFICACIONES.SCBA.GOV.AR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23046964829@CMA.NOTIFICACIONES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20312830702@NOTIFICACIONES.SCBA.GOV.AR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28/04/2026 10:33:56 -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28/04/2026 11:43:16 -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28/04/2026 12:48:16 -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‰8,")è&amp;t\syŠ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241202090006846083</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28/04/2026 12:48:26 hs. bajo el número RS-66-2026 por PE\LBIANCO LUIS MARIA.</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