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5970-26</w:t>
      </w:r>
      <w:r>
        <w:rPr>
          <w:lang w:val="es-AR" w:eastAsia="es-AR" w:bidi="es-AR"/>
        </w:rPr>
        <w:t xml:space="preserve"> caratulada </w:t>
      </w:r>
      <w:r>
        <w:rPr>
          <w:b/>
          <w:lang w:val="es-AR" w:eastAsia="es-AR" w:bidi="es-AR"/>
        </w:rPr>
        <w:t xml:space="preserve">"</w:t>
      </w:r>
      <w:r>
        <w:rPr>
          <w:b/>
          <w:color w:val="000000"/>
          <w:lang w:val="es-AR" w:eastAsia="es-AR" w:bidi="es-AR"/>
        </w:rPr>
        <w:t xml:space="preserve">DONELLI DANIEL DARIO Y OTRO/A C/ SOLIMANDI ELISA FERNANDA Y OTRO/A S/ DAÑOS Y PERJ.AUTOM. C/LES. O MUERTE (EXC.ESTADO)</w:t>
      </w:r>
      <w:r>
        <w:rPr>
          <w:b/>
          <w:lang w:val="es-AR" w:eastAsia="es-AR" w:bidi="es-AR"/>
        </w:rPr>
        <w:t xml:space="preserve">"</w:t>
      </w:r>
      <w:r>
        <w:rPr>
          <w:lang w:val="es-AR" w:eastAsia="es-AR" w:bidi="es-AR"/>
        </w:rPr>
        <w:t xml:space="preserve">, Expte. N° 89.621 </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homologando en todas sus partes el convenio agregado por las partes litigantes. En dicho acuerdo se determinó que las costas serían soportadas por "Seguros Bernardino Rivadavia Coop. Limitada". Por tanto en la resolución en crisis se regularon los honorarios de los profesionales intervinientes, entre ellos de la Mediadora Pre judicial, Dra. Ana Denise Maire en la cantidad de  (31,31) Jus. arancelarios  con más los aportes de ley.  </w:t>
      </w:r>
    </w:p>
    <w:p>
      <w:pPr>
        <w:pStyle w:val="[Normal]"/>
        <w:spacing w:line="360" w:lineRule="auto"/>
        <w:ind w:firstLine="1134"/>
        <w:jc w:val="both"/>
        <w:rPr>
          <w:lang w:val="es-AR" w:eastAsia="es-AR" w:bidi="es-AR"/>
        </w:rPr>
      </w:pPr>
      <w:r>
        <w:rPr>
          <w:lang w:val="es-AR" w:eastAsia="es-AR" w:bidi="es-AR"/>
        </w:rPr>
        <w:t xml:space="preserve">Mediante el escrito de fecha 26-12-2026 el letrado de la citada en garantía interpuso recurso de apelación contra los honorarios de la mediadora por considerarlos elevados, fundado en la presentación de fecha 6-1-2026.</w:t>
      </w:r>
    </w:p>
    <w:p>
      <w:pPr>
        <w:pStyle w:val="[Normal]"/>
        <w:spacing w:line="360" w:lineRule="auto"/>
        <w:ind w:firstLine="1134"/>
        <w:jc w:val="both"/>
        <w:rPr>
          <w:lang w:val="es-AR" w:eastAsia="es-AR" w:bidi="es-AR"/>
        </w:rPr>
      </w:pPr>
      <w:r>
        <w:rPr>
          <w:lang w:val="es-AR" w:eastAsia="es-AR" w:bidi="es-AR"/>
        </w:rPr>
        <w:t xml:space="preserve">Conferido el traslado pertinente, el mismo fue evacuado por la Dra. Maire en fecha 2-2-2026.</w:t>
      </w:r>
    </w:p>
    <w:p>
      <w:pPr>
        <w:pStyle w:val="[Normal]"/>
        <w:spacing w:line="360" w:lineRule="auto"/>
        <w:ind w:firstLine="1134"/>
        <w:jc w:val="both"/>
        <w:rPr>
          <w:lang w:val="es-AR" w:eastAsia="es-AR" w:bidi="es-AR"/>
        </w:rPr>
      </w:pPr>
      <w:r>
        <w:rPr>
          <w:lang w:val="es-AR" w:eastAsia="es-AR" w:bidi="es-AR"/>
        </w:rPr>
        <w:t xml:space="preserve">Arribados los autos a esta Alzada, se dictó el llamamiento de autos de fecha 10-2-2026,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Cuestiona la regulación de honorarios de la mediador prejudicial, aduciendo que resultan excesivos y desproporcionados en relación con el monto del acuerdo alcanzado ($17.000.000), que representan más del 8% del mismo.</w:t>
      </w:r>
    </w:p>
    <w:p>
      <w:pPr>
        <w:pStyle w:val="[Normal]"/>
        <w:spacing w:line="360" w:lineRule="auto"/>
        <w:ind w:firstLine="1134"/>
        <w:jc w:val="both"/>
        <w:rPr>
          <w:lang w:val="es-AR" w:eastAsia="es-AR" w:bidi="es-AR"/>
        </w:rPr>
      </w:pPr>
      <w:r>
        <w:rPr>
          <w:lang w:val="es-AR" w:eastAsia="es-AR" w:bidi="es-AR"/>
        </w:rPr>
        <w:t xml:space="preserve">Afirma que la intervención de la profesional se limitó a una sola audiencia de corta duración, sin implicar labores jurídicas complejas, estrategias o responsabilidad significativa, lo que evidencia una desproporción entre la retribución fijada y la labor efectivamente realizada.</w:t>
      </w:r>
    </w:p>
    <w:p>
      <w:pPr>
        <w:pStyle w:val="[Normal]"/>
        <w:spacing w:line="360" w:lineRule="auto"/>
        <w:ind w:firstLine="1134"/>
        <w:jc w:val="both"/>
        <w:rPr>
          <w:lang w:val="es-AR" w:eastAsia="es-AR" w:bidi="es-AR"/>
        </w:rPr>
      </w:pPr>
      <w:r>
        <w:rPr>
          <w:lang w:val="es-AR" w:eastAsia="es-AR" w:bidi="es-AR"/>
        </w:rPr>
        <w:t xml:space="preserve">Expone que la Corte Suprema de Justicia de la Nación ha señalado que para la impugnación constitucional de la regulación de honorarios se requiere que ésta sea irrazonable o arbitraria, debiendo guardar adecuada proporción con la labor realizada y la cuantía de los intereses debatidos (CSJN, “Bertani”; “Iturraspe”; “Lemme”).</w:t>
      </w:r>
    </w:p>
    <w:p>
      <w:pPr>
        <w:pStyle w:val="[Normal]"/>
        <w:spacing w:line="360" w:lineRule="auto"/>
        <w:ind w:firstLine="1134"/>
        <w:jc w:val="both"/>
        <w:rPr>
          <w:lang w:val="es-AR" w:eastAsia="es-AR" w:bidi="es-AR"/>
        </w:rPr>
      </w:pPr>
      <w:r>
        <w:rPr>
          <w:lang w:val="es-AR" w:eastAsia="es-AR" w:bidi="es-AR"/>
        </w:rPr>
        <w:t xml:space="preserve">Agrega que conforme el Art. 16 de la Ley 14.967, la regulación de honorarios debe considerar el monto del asunto, la complejidad, la responsabilidad, el resultado obtenido y el tiempo empleado; principios que no fueron observados al fijar los emolumentos de aquella profesional interviniente, limitándose únicamente al monto del acuerdo.</w:t>
      </w:r>
    </w:p>
    <w:p>
      <w:pPr>
        <w:pStyle w:val="[Normal]"/>
        <w:spacing w:line="360" w:lineRule="auto"/>
        <w:ind w:firstLine="1134"/>
        <w:jc w:val="both"/>
        <w:rPr>
          <w:lang w:val="es-AR" w:eastAsia="es-AR" w:bidi="es-AR"/>
        </w:rPr>
      </w:pPr>
      <w:r>
        <w:rPr>
          <w:lang w:val="es-AR" w:eastAsia="es-AR" w:bidi="es-AR"/>
        </w:rPr>
        <w:t xml:space="preserve">Sostiene que la regulación cuestionada excede los límites previstos por el Art. 730 del Código Civil y Comercial de la Nación, que establece que el pago de costas no debe superar el 25% del monto del juicio, lo que evidencia una afectación al principio de proporcionalidad y al acceso a la justicia.</w:t>
      </w:r>
    </w:p>
    <w:p>
      <w:pPr>
        <w:pStyle w:val="[Normal]"/>
        <w:spacing w:line="360" w:lineRule="auto"/>
        <w:ind w:firstLine="1134"/>
        <w:jc w:val="both"/>
        <w:rPr>
          <w:b/>
          <w:lang w:val="es-AR" w:eastAsia="es-AR" w:bidi="es-AR"/>
        </w:rPr>
      </w:pPr>
      <w:r>
        <w:rPr>
          <w:lang w:val="es-AR" w:eastAsia="es-AR" w:bidi="es-AR"/>
        </w:rPr>
        <w:t xml:space="preserve">Además advierte una inequidad relativa entre los honorarios de la mediadora y los de los profesionales que intervinieron en el proceso judicial, siendo estos últimos quienes realizaron labores más extensas y complejas, en tanto aquella recibió una suma desproporcionada por su participación limitada.</w:t>
      </w:r>
    </w:p>
    <w:p>
      <w:pPr>
        <w:pStyle w:val="[Normal]"/>
        <w:spacing w:line="360" w:lineRule="auto"/>
        <w:ind w:firstLine="1134"/>
        <w:jc w:val="both"/>
        <w:rPr>
          <w:lang w:val="es-AR" w:eastAsia="es-AR" w:bidi="es-AR"/>
        </w:rPr>
      </w:pPr>
      <w:r>
        <w:rPr>
          <w:lang w:val="es-AR" w:eastAsia="es-AR" w:bidi="es-AR"/>
        </w:rPr>
        <w:t xml:space="preserve">Por todo lo expuesto, solicita se reduzcan los honorarios de la mediadora de manera proporcional al valor del litigio, a la importancia y eficacia de la labor efectivamente realizada. En su caso agrega se declare la inconstitucionalidad de las normas provinciales que fundamentaron la regulación; y alternativamente se haga uso de la facultad morigeradora prevista en el Art. 1255 del CCCN.</w:t>
      </w:r>
    </w:p>
    <w:p>
      <w:pPr>
        <w:pStyle w:val="[Normal]"/>
        <w:spacing w:line="360" w:lineRule="auto"/>
        <w:ind w:firstLine="1134"/>
        <w:jc w:val="both"/>
        <w:rPr>
          <w:lang w:val="es-AR" w:eastAsia="es-AR" w:bidi="es-AR"/>
        </w:rPr>
      </w:pPr>
      <w:r>
        <w:rPr>
          <w:lang w:val="es-AR" w:eastAsia="es-AR" w:bidi="es-AR"/>
        </w:rPr>
        <w:t xml:space="preserve">A su turno la mediadora rechaza el planteo de la citada en garantía. Señala que sus honorarios fueron fijados conforme a la normativa vigente y que la apelación busca dilatar su pago. Asimismo, destaca que su labor no se limita a una audiencia, sino que comprende toda la etapa prejudicial. Sostiene que sus emolumentos tienen carácter alimentario y no pueden ser reducidos ni incluidos en el prorrateo del art. 730 del CCyC, por lo que solicita el rechazo del recurso con costas.</w:t>
      </w:r>
    </w:p>
    <w:p>
      <w:pPr>
        <w:pStyle w:val="[Normal]"/>
        <w:spacing w:line="360" w:lineRule="auto"/>
        <w:ind w:firstLine="1134"/>
        <w:jc w:val="both"/>
        <w:rPr>
          <w:b/>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w:t>
      </w:r>
      <w:r>
        <w:rPr>
          <w:b/>
          <w:lang w:val="es-AR" w:eastAsia="es-AR" w:bidi="es-AR"/>
        </w:rPr>
        <w:t xml:space="preserve"> </w:t>
      </w:r>
      <w:r>
        <w:rPr>
          <w:lang w:val="es-AR" w:eastAsia="es-AR" w:bidi="es-AR"/>
        </w:rPr>
        <w:t xml:space="preserve">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Sentado ello, corresponde adentrarse en el tratamiento del recurso en tanto el agravio lo constituye el monto regulado a la Dra. Ana Denise Maire por su trabajo como Mediadora que en la instancia de origen se los determinó en la suma equivalente a 31,31 jus de unidad arancelaria y que la apelante entiende desproporcionados.</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que reducen la labor de la mediadora a la intervención en una sola audiencia de corta duración,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-septiembre 2023; artículos 31 de la ley 13.951 y 31 del decreto 600/21-, y meritando en dicho orden el monto que resulta de la transacción arribada en el proceso ($17.000.000,00), valor jus al momento de la regulación de primera instancia</w:t>
      </w:r>
      <w:r>
        <w:rPr>
          <w:b/>
          <w:lang w:val="es-AR" w:eastAsia="es-AR" w:bidi="es-AR"/>
        </w:rPr>
        <w:t xml:space="preserve"> </w:t>
      </w:r>
      <w:r>
        <w:rPr>
          <w:lang w:val="es-AR" w:eastAsia="es-AR" w:bidi="es-AR"/>
        </w:rPr>
        <w:t xml:space="preserve">$44.774</w:t>
      </w:r>
      <w:r>
        <w:rPr>
          <w:b/>
          <w:lang w:val="es-AR" w:eastAsia="es-AR" w:bidi="es-AR"/>
        </w:rPr>
        <w:t xml:space="preserve"> </w:t>
      </w:r>
      <w:r>
        <w:rPr>
          <w:lang w:val="es-AR" w:eastAsia="es-AR" w:bidi="es-AR"/>
        </w:rPr>
        <w:t xml:space="preserve">(Ac. 4217/26 SCBA), monto del asunto equivalente a</w:t>
      </w:r>
      <w:r>
        <w:rPr>
          <w:b/>
          <w:lang w:val="es-AR" w:eastAsia="es-AR" w:bidi="es-AR"/>
        </w:rPr>
        <w:t xml:space="preserve"> </w:t>
      </w:r>
      <w:r>
        <w:rPr>
          <w:lang w:val="es-AR" w:eastAsia="es-AR" w:bidi="es-AR"/>
        </w:rPr>
        <w:t xml:space="preserve">379,68 jus, los honorarios por las tareas de mediación han sido debidamente fijados en la suma equivalente a 31,31 jus de unidad</w:t>
      </w:r>
      <w:r>
        <w:rPr>
          <w:b/>
          <w:lang w:val="es-AR" w:eastAsia="es-AR" w:bidi="es-AR"/>
        </w:rPr>
        <w:t xml:space="preserve"> </w:t>
      </w:r>
      <w:r>
        <w:rPr>
          <w:lang w:val="es-AR" w:eastAsia="es-AR" w:bidi="es-AR"/>
        </w:rPr>
        <w:t xml:space="preserve">arancelaria (art. 31 inc.</w:t>
      </w:r>
      <w:r>
        <w:rPr>
          <w:b/>
          <w:lang w:val="es-AR" w:eastAsia="es-AR" w:bidi="es-AR"/>
        </w:rPr>
        <w:t xml:space="preserve"> </w:t>
      </w:r>
      <w:r>
        <w:rPr>
          <w:lang w:val="es-AR" w:eastAsia="es-AR" w:bidi="es-AR"/>
        </w:rPr>
        <w:t xml:space="preserve">"e"</w:t>
      </w:r>
      <w:r>
        <w:rPr>
          <w:b/>
          <w:lang w:val="es-AR" w:eastAsia="es-AR" w:bidi="es-AR"/>
        </w:rPr>
        <w:t xml:space="preserve"> </w:t>
      </w:r>
      <w:r>
        <w:rPr>
          <w:lang w:val="es-AR" w:eastAsia="es-AR" w:bidi="es-AR"/>
        </w:rPr>
        <w:t xml:space="preserve">del decreto 600/21). </w:t>
      </w:r>
    </w:p>
    <w:p>
      <w:pPr>
        <w:pStyle w:val="[Normal]"/>
        <w:spacing w:line="360" w:lineRule="auto"/>
        <w:ind w:firstLine="1134"/>
        <w:jc w:val="both"/>
        <w:rPr>
          <w:b/>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w:t>
      </w:r>
      <w:r>
        <w:rPr>
          <w:i/>
          <w:u w:val="single"/>
          <w:lang w:val="es-AR" w:eastAsia="es-AR" w:bidi="es-AR"/>
        </w:rPr>
        <w:t xml:space="preserve">primera o única instancia</w:t>
      </w:r>
      <w:r>
        <w:rPr>
          <w:i/>
          <w:lang w:val="es-AR" w:eastAsia="es-AR" w:bidi="es-AR"/>
        </w:rPr>
        <w:t xml:space="preserve">,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10:54:55 -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10:56:35 -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12:31:36 -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‰8;")è&amp;v92|Š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242702090006862518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12:31:52 hs. bajo el número RS-49-2026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