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5874-25</w:t>
      </w:r>
      <w:r>
        <w:rPr>
          <w:lang w:val="es-AR" w:eastAsia="es-AR" w:bidi="es-AR"/>
        </w:rPr>
        <w:t xml:space="preserve"> caratulada </w:t>
      </w:r>
      <w:r>
        <w:rPr>
          <w:b/>
          <w:lang w:val="es-AR" w:eastAsia="es-AR" w:bidi="es-AR"/>
        </w:rPr>
        <w:t xml:space="preserve">"</w:t>
      </w:r>
      <w:r>
        <w:rPr>
          <w:b/>
          <w:color w:val="000000"/>
          <w:lang w:val="es-AR" w:eastAsia="es-AR" w:bidi="es-AR"/>
        </w:rPr>
        <w:t xml:space="preserve">ALFONSO GASTON NAHUEL C/ GENITRINI DANIEL ESTEBAN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79.641</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reguló los honorarios del mediador designado en autos, Dr. Juan Diego Vélez por su labor en la suma equivalente a veinte con 87/100 (20,87) jus de unidad arancelaria, debiendo adicionarse el porcentual de ley (art. 31 ley 13.951, art. 31 inc. "d" del decreto reglam. 600/21) y el porcentaje de ley previsto para el IVA en cuanto correspondiere.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26-11-2025 por el apoderado de la citada en garantía, concedido el 1-12-2025 en relación y con efecto suspensivo y fundado el 3-12-2025. Con fecha 4-12-2025 se dio traslado al Mediador, a quien se le dio por perdido el derecho dejado de usar al no evacuarlo (22/12/2025).  Elevados los autos a esta Alzada en fecha 3-2-2026 se dicta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recurrente cuestiona el monto fijado por considerarlo desproporcionado en relación con la liquidación aprobada y manifestando que los honorarios fijados superan el 10% de la base, lo que a su criterio resulta un severo desajuste. </w:t>
      </w:r>
    </w:p>
    <w:p>
      <w:pPr>
        <w:pStyle w:val="[Normal]"/>
        <w:spacing w:line="360" w:lineRule="auto"/>
        <w:ind w:firstLine="1134"/>
        <w:jc w:val="both"/>
        <w:rPr>
          <w:lang w:val="es-AR" w:eastAsia="es-AR" w:bidi="es-AR"/>
        </w:rPr>
      </w:pPr>
      <w:r>
        <w:rPr>
          <w:lang w:val="es-AR" w:eastAsia="es-AR" w:bidi="es-AR"/>
        </w:rPr>
        <w:t xml:space="preserve">En ese marco, plantea la inconstitucionalidad de la norma aplicada por el Juzgador (art. 31 de la Ley 13.951 y del art. 31 del Decreto Reglamentario 600/21).</w:t>
      </w:r>
    </w:p>
    <w:p>
      <w:pPr>
        <w:pStyle w:val="[Normal]"/>
        <w:spacing w:line="360" w:lineRule="auto"/>
        <w:ind w:firstLine="1134"/>
        <w:jc w:val="both"/>
        <w:rPr>
          <w:lang w:val="es-AR" w:eastAsia="es-AR" w:bidi="es-AR"/>
        </w:rPr>
      </w:pPr>
      <w:r>
        <w:rPr>
          <w:lang w:val="es-AR" w:eastAsia="es-AR" w:bidi="es-AR"/>
        </w:rPr>
        <w:t xml:space="preserve">Sostiene que la intervención se habría limitado a la celebración de una sola audiencia, afirmando que no duró más que 10/15 minutos, no habiendo aportado nada el mediador pues el acta se cerró sin acuerdo. Señala que tener como base el monto de la liquidación torna arbitraria la estimación, a la par de considerarla confiscatoria para la obligada al pago.</w:t>
      </w:r>
    </w:p>
    <w:p>
      <w:pPr>
        <w:pStyle w:val="[Normal]"/>
        <w:spacing w:line="360" w:lineRule="auto"/>
        <w:ind w:firstLine="1134"/>
        <w:jc w:val="both"/>
        <w:rPr>
          <w:lang w:val="es-AR" w:eastAsia="es-AR" w:bidi="es-AR"/>
        </w:rPr>
      </w:pPr>
      <w:r>
        <w:rPr>
          <w:lang w:val="es-AR" w:eastAsia="es-AR" w:bidi="es-AR"/>
        </w:rPr>
        <w:t xml:space="preserve">Ataca la regulación en tanto el monto fijado implica un encarecimiento desproporcionado del proceso que atenta contra el acceso a la justicia, vulnerándose los arts. 15, 45 y 57 de la Const. de la Provincia de Bs. As.. </w:t>
      </w:r>
    </w:p>
    <w:p>
      <w:pPr>
        <w:pStyle w:val="[Normal]"/>
        <w:spacing w:line="360" w:lineRule="auto"/>
        <w:ind w:firstLine="1134"/>
        <w:jc w:val="both"/>
        <w:rPr>
          <w:lang w:val="es-AR" w:eastAsia="es-AR" w:bidi="es-AR"/>
        </w:rPr>
      </w:pPr>
      <w:r>
        <w:rPr>
          <w:lang w:val="es-AR" w:eastAsia="es-AR" w:bidi="es-AR"/>
        </w:rPr>
        <w:t xml:space="preserve">Refiere que la regulación cuestionada excede los límites previstos por el Art. 730 del Código Civil y Comercial de la Nación, que establece que el pago de costas no debe superar el 25% del monto del juicio, lo que evidencia una afectación al principio de proporcionalidad y al acceso a la justicia.</w:t>
      </w:r>
    </w:p>
    <w:p>
      <w:pPr>
        <w:pStyle w:val="[Normal]"/>
        <w:spacing w:line="360" w:lineRule="auto"/>
        <w:ind w:firstLine="1134"/>
        <w:jc w:val="both"/>
        <w:rPr>
          <w:lang w:val="es-AR" w:eastAsia="es-AR" w:bidi="es-AR"/>
        </w:rPr>
      </w:pPr>
      <w:r>
        <w:rPr>
          <w:lang w:val="es-AR" w:eastAsia="es-AR" w:bidi="es-AR"/>
        </w:rPr>
        <w:t xml:space="preserve">Invoca precedentes jurisprudenciales relativos a normas arancelarias aplicables, y en apoyo de su planteo.</w:t>
      </w:r>
    </w:p>
    <w:p>
      <w:pPr>
        <w:pStyle w:val="[Normal]"/>
        <w:spacing w:line="360" w:lineRule="auto"/>
        <w:ind w:firstLine="1134"/>
        <w:jc w:val="both"/>
        <w:rPr>
          <w:lang w:val="es-AR" w:eastAsia="es-AR" w:bidi="es-AR"/>
        </w:rPr>
      </w:pPr>
      <w:r>
        <w:rPr>
          <w:lang w:val="es-AR" w:eastAsia="es-AR" w:bidi="es-AR"/>
        </w:rPr>
        <w:t xml:space="preserve">Por último, solicita se disminuya la regulación practicada en favor del mediador, se declare la inconstitucionalidad de las disposiciones cuestionadas o se aplique la facultad morigeradora otorgada a los jueces por el art. 1255 del CCCN.</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esa línea, hemos señalado que no existe interés procesal en declarar la inconstitucionalidad de la normativa específica aplicable en materia de honorarios de mediadores, ya que su vigencia no impide ponderar circunstancias del caso concreto ni aplicar, en su caso, el art. 1255 segundo párrafo CCyC cuando correspondiere (v. CAP N° 5306 RSD 90/2024).</w:t>
      </w:r>
    </w:p>
    <w:p>
      <w:pPr>
        <w:pStyle w:val="[Normal]"/>
        <w:spacing w:line="360" w:lineRule="auto"/>
        <w:ind w:firstLine="1134"/>
        <w:jc w:val="both"/>
        <w:rPr>
          <w:b/>
          <w:lang w:val="es-AR" w:eastAsia="es-AR" w:bidi="es-AR"/>
        </w:rPr>
      </w:pPr>
      <w:r>
        <w:rPr>
          <w:lang w:val="es-AR" w:eastAsia="es-AR" w:bidi="es-AR"/>
        </w:rPr>
        <w:t xml:space="preserve">En el especie, el apelante no logra demostrar que la aplicación del art. 31 de la Ley 13.951 y su decreto reglamentario genere un supuesto concreto de confiscatoriedad o irrazonabilidad manifiesta, sino que formula un cuestionamiento abstracto del sistema arancelario, por lo que tal planteo resulta insuficiente para habilitar el control constitucional pretendido.</w:t>
      </w:r>
    </w:p>
    <w:p>
      <w:pPr>
        <w:pStyle w:val="[Normal]"/>
        <w:spacing w:line="360" w:lineRule="auto"/>
        <w:ind w:firstLine="1134"/>
        <w:jc w:val="both"/>
        <w:rPr>
          <w:b/>
          <w:lang w:val="es-AR" w:eastAsia="es-AR" w:bidi="es-AR"/>
        </w:rPr>
      </w:pPr>
      <w:r>
        <w:rPr>
          <w:lang w:val="es-AR" w:eastAsia="es-AR" w:bidi="es-AR"/>
        </w:rPr>
        <w:t xml:space="preserve">Sentado lo que precede, cabe adentrarse en el tratamiento del recurso en tanto el agravio lo constituye el monto regulado al letrado Juan Diego Vélez por su trabajo como mediador, que en la instancia de origen se los determinó en la suma equivalente a 20,87 jus de unidad arancelaria y que el apelante entiende desproporcionado.</w:t>
      </w:r>
    </w:p>
    <w:p>
      <w:pPr>
        <w:pStyle w:val="[Normal]"/>
        <w:spacing w:line="360" w:lineRule="auto"/>
        <w:ind w:firstLine="1134"/>
        <w:jc w:val="both"/>
        <w:rPr>
          <w:b/>
          <w:lang w:val="es-AR" w:eastAsia="es-AR" w:bidi="es-AR"/>
        </w:rPr>
      </w:pPr>
      <w:r>
        <w:rPr>
          <w:lang w:val="es-AR" w:eastAsia="es-AR" w:bidi="es-AR"/>
        </w:rPr>
        <w:t xml:space="preserve">Para ello considero oportuno señalar que no comparto los argumentos expuestos por el letrado de la citada en garantía, en tanto tienden a desvalorizar la tarea desarrollada por el mediador al afirmar que la audiencia habría insumido apenas unos minutos, que no habría aportado elementos útiles para arribar a un acuerdo y que su intervención encarecería injustificadamente el acceso a la justicia.</w:t>
      </w:r>
      <w:r>
        <w:rPr>
          <w:b/>
          <w:lang w:val="es-AR" w:eastAsia="es-AR" w:bidi="es-AR"/>
        </w:rPr>
        <w:t xml:space="preserve"> </w:t>
      </w:r>
      <w:r>
        <w:rPr>
          <w:lang w:val="es-AR" w:eastAsia="es-AR" w:bidi="es-AR"/>
        </w:rPr>
        <w:t xml:space="preserve">Tales manifestaciones no pueden erigirse en un factor determinante para solicitar la reducción de los honorarios profesionales. Por el contrario, corresponde recordar que la Ley de Mediación, así como su decreto reglamentario, establecen pautas y montos mínimos que buscan reconocer la especificidad de su labor, garantizar la sostenibilidad del servicio y asegurar su función preventiva y desjudicializadora. Admitir regulaciones sensiblemente inferiores desnaturalizaría esa finalidad legal y podría desalentar la intervención efectiva de quienes cumplen un rol central en la construcción de soluciones tempranas y en la protección de derechos de los justiciables.</w:t>
      </w:r>
    </w:p>
    <w:p>
      <w:pPr>
        <w:pStyle w:val="[Normal]"/>
        <w:spacing w:line="360" w:lineRule="auto"/>
        <w:ind w:firstLine="1134"/>
        <w:jc w:val="both"/>
        <w:rPr>
          <w:b/>
          <w:lang w:val="es-AR" w:eastAsia="es-AR" w:bidi="es-AR"/>
        </w:rPr>
      </w:pPr>
      <w:r>
        <w:rPr>
          <w:lang w:val="es-AR" w:eastAsia="es-AR" w:bidi="es-AR"/>
        </w:rPr>
        <w:t xml:space="preserve">Respecto de ello último, 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w:t>
      </w:r>
      <w:r>
        <w:rPr>
          <w:b/>
          <w:lang w:val="es-AR" w:eastAsia="es-AR" w:bidi="es-AR"/>
        </w:rPr>
        <w:t xml:space="preserve"> </w:t>
      </w:r>
      <w:r>
        <w:rPr>
          <w:lang w:val="es-AR" w:eastAsia="es-AR" w:bidi="es-AR"/>
        </w:rPr>
        <w:t xml:space="preserve">Con lo cual la cantidad de audiencias realizadas, las características del acta de audiencia y cualquier otra constancia que acredite una gestión llevada a cabo por la mediadora,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b/>
          <w:lang w:val="es-AR" w:eastAsia="es-AR" w:bidi="es-AR"/>
        </w:rPr>
      </w:pPr>
      <w:r>
        <w:rPr>
          <w:lang w:val="es-AR" w:eastAsia="es-AR" w:bidi="es-AR"/>
        </w:rPr>
        <w:t xml:space="preserve">En ese contexto, considero que si bien en la presente se celebró una audiencia de mediación y por falta de acuerdo de las partes se cerró el trámite, cabe presumir que la realización de la misma estuvo precedida de ciertos actos previos indispensables -estudio de antecedentes, organización del encuentro, diligencias de notificación, dirección del procedimiento, entre otros- cuya entidad no siempre resulta reflejada en el acta final y cuya valoración se ve limitada por el principio de confidencialidad previsto en los arts. 1 y 16 de la Ley 13.951, lo que constituye causa suficiente para justificar el pago de los honorarios devengados por parte del obligado. Adunando al respecto que si la tarea del mediador quedó así circunscripta no fue por razones atribuibles a él, sino por cuestiones vinculadas a la propia voluntad de las partes de llegar a un acuerdo.</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5649/25 RS-8-2026 y anteriores allí citadas) que de conformidad a la ley especial que rige en la materia y que deviene temporalmente aplicable al caso habida cuenta la fecha de realización de los trabajos respectivos -mayo y junio de 2024; artículos 31 de la ley 13.951 y 31 del decreto 600/21-, y meritando en dicho orden el monto que resulta de la liquidación aprobada en el proceso ($8.459.052, valor jus al momento de la regulación de primera instancia $44.330 (Ac. 4200/25 SCBA), monto del asunto equivalente a 190,82 jus), los honorarios regulados en favor del  mediador interviniente por los trabajos realizados en autos no se aprecian elevados y retribuyen adecuadamente la tarea cumplida por el mismo, de </w:t>
      </w:r>
      <w:r>
        <w:rPr>
          <w:color w:val="000000"/>
          <w:lang w:val="es-AR" w:eastAsia="es-AR" w:bidi="es-AR"/>
        </w:rPr>
        <w:t xml:space="preserve">conformidad a las pautas contenidas en los </w:t>
      </w:r>
      <w:r>
        <w:rPr>
          <w:lang w:val="es-AR" w:eastAsia="es-AR" w:bidi="es-AR"/>
        </w:rPr>
        <w:t xml:space="preserve">arts. 31 de la ley 13.951, art. 31 inc. "d" del decreto 600/21. </w:t>
      </w:r>
    </w:p>
    <w:p>
      <w:pPr>
        <w:pStyle w:val="[Normal]"/>
        <w:spacing w:line="360" w:lineRule="auto"/>
        <w:ind w:firstLine="1134"/>
        <w:jc w:val="both"/>
        <w:rPr>
          <w:lang w:val="es-AR" w:eastAsia="es-AR" w:bidi="es-AR"/>
        </w:rPr>
      </w:pPr>
      <w:r>
        <w:rPr>
          <w:lang w:val="es-AR" w:eastAsia="es-AR" w:bidi="es-AR"/>
        </w:rPr>
        <w:t xml:space="preserve">En atención a lo expuesto, y no advirtiendo una vulneración al principio de razonabilidad, propongo al Acuerdo confirmar la regulación practicada a la mediadora interviniente. Ello es así porque, aún cuando el marco normativo habilita a los jueces a adecuar equitativamente los honorarios cuando la aplicación estricta de los aranceles genere una desproporción injustificada entre la retribución y la tarea efectivamente realizada, en este caso no se advierten elementos que justifiquen apartarse de los parámetros establecidos.</w:t>
      </w:r>
    </w:p>
    <w:p>
      <w:pPr>
        <w:pStyle w:val="[Normal]"/>
        <w:spacing w:line="360" w:lineRule="auto"/>
        <w:ind w:firstLine="1134"/>
        <w:jc w:val="both"/>
        <w:rPr>
          <w:b/>
          <w:color w:val="000000"/>
          <w:lang w:val="es-AR" w:eastAsia="es-AR" w:bidi="es-AR"/>
        </w:rPr>
      </w:pPr>
      <w:r>
        <w:rPr>
          <w:lang w:val="es-AR" w:eastAsia="es-AR" w:bidi="es-AR"/>
        </w:rPr>
        <w:t xml:space="preserve">Por su parte, ha de recordarse que quedan excluidos del tope del art. 730 del CCYCN los honorarios regulados al mediador</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 que el precepto normativo de referencia establece claramente que </w:t>
      </w:r>
      <w:r>
        <w:rPr>
          <w:i/>
          <w:lang w:val="es-AR" w:eastAsia="es-AR" w:bidi="es-AR"/>
        </w:rPr>
        <w:t xml:space="preserve">"...la responsabilidad por el pago de las costas, incluidos los honorarios profesionales, de todo tipo, allí devengados y correspondientes a la primera o única instancia, no debe exceder del veinticinco por ciento del monto de la sentencia, laudo, transacción o instrumento que ponga fin al diferendo..."</w:t>
      </w:r>
      <w:r>
        <w:rPr>
          <w:lang w:val="es-AR" w:eastAsia="es-AR" w:bidi="es-AR"/>
        </w:rPr>
        <w:t xml:space="preserve">, y la mediación es una instancia previa obligatoria, y que no está incluida en la primera o única instancia a que refiere dicho artículo </w:t>
      </w:r>
      <w:r>
        <w:rPr>
          <w:color w:val="000000"/>
          <w:lang w:val="es-AR" w:eastAsia="es-AR" w:bidi="es-AR"/>
        </w:rPr>
        <w:t xml:space="preserve">(</w:t>
      </w:r>
      <w:r>
        <w:rPr>
          <w:lang w:val="es-AR" w:eastAsia="es-AR" w:bidi="es-AR"/>
        </w:rPr>
        <w:t xml:space="preserve">cfr. CAP 4385 RSI 12-4-22 Reg. Nro. 56</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último, resta señalar que 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26/11/2025 en cuanto regula los honorarios del letrado Mediador Juan Diego Vélez en la suma equivalente a 20,87 jus de unidad arancelaria, con más el porcentaje legal pertinente (ley 6716 y sus modif. T.O. decr. 4771/95, B.O. 15/2/96) (art. 31 de la ley 13.951, art. 31 inc. "d"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26/11/2025 en cuanto regula los honorarios del letrado Mediador Juan Diego Vélez en la suma equivalente a 20,87 jus de unidad arancelaria, con más el porcentaje legal pertinente (ley 6716 y sus modif. T.O. decr. 4771/95, B.O. 15/2/96) (art. 31 de la ley 13.951, art. 31 inc. "d"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07/04/2026 10:22:55 -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07/04/2026 11:28:21 -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07/04/2026 11:34:46 -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‰9-")è&amp;r=n~Š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251302090006822978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07/04/2026 11:35:00 hs. bajo el número RS-45-2026 por PE\melustondo.</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