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5141-23</w:t>
      </w:r>
      <w:r>
        <w:rPr>
          <w:lang w:val="es-AR" w:eastAsia="es-AR" w:bidi="es-AR"/>
        </w:rPr>
        <w:t xml:space="preserve"> caratulada </w:t>
      </w:r>
      <w:r>
        <w:rPr>
          <w:b/>
          <w:lang w:val="es-AR" w:eastAsia="es-AR" w:bidi="es-AR"/>
        </w:rPr>
        <w:t xml:space="preserve">"</w:t>
      </w:r>
      <w:r>
        <w:rPr>
          <w:b/>
          <w:color w:val="000000"/>
          <w:lang w:val="es-AR" w:eastAsia="es-AR" w:bidi="es-AR"/>
        </w:rPr>
        <w:t xml:space="preserve">ALLEGA, LUIS REMIGIO C/ VISINTINI, SERGIO JAVIER S/MEDIANERIA</w:t>
      </w:r>
      <w:r>
        <w:rPr>
          <w:b/>
          <w:lang w:val="es-AR" w:eastAsia="es-AR" w:bidi="es-AR"/>
        </w:rPr>
        <w:t xml:space="preserve">"</w:t>
      </w:r>
      <w:r>
        <w:rPr>
          <w:lang w:val="es-AR" w:eastAsia="es-AR" w:bidi="es-AR"/>
        </w:rPr>
        <w:t xml:space="preserve">, Expte. N° 43.874 del Juzgado de Paz Letrado de Colón,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Jueza de la anterior sede hizo lugar a la falta de legitimación pasiva interpuesta por Sergio Visintini. Asimismo, rechazó la demanda promovida por Luis Remigio Allega contra Silvana Luján Serra. Impuso las costas a la actora que resultó vencida y difirió la regulación de honorarios.-</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actora en fecha 20-10-2025, quien expresa agravios en fecha 2-12-2025, habiendo los codemandados Sergio Visintini y Silvana Luján Serra contestado los traslados conferidos en las fechas 17-12-2025 y 18-12-2025 respectivamente.- </w:t>
      </w:r>
    </w:p>
    <w:p>
      <w:pPr>
        <w:pStyle w:val="[Normal]"/>
        <w:spacing w:line="360" w:lineRule="auto"/>
        <w:ind w:firstLine="1134"/>
        <w:jc w:val="both"/>
        <w:rPr>
          <w:lang w:val="es-AR" w:eastAsia="es-AR" w:bidi="es-AR"/>
        </w:rPr>
      </w:pPr>
      <w:r>
        <w:rPr>
          <w:lang w:val="es-AR" w:eastAsia="es-AR" w:bidi="es-AR"/>
        </w:rPr>
        <w:t xml:space="preserve">Con fecha 23-12-2025,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actora se agravia  de la decisión de grado en cuanto hizo lugar a la excepción de falta de legitimación pasiva opuesta por el codemandado  Sergio Javier Visintini. </w:t>
      </w:r>
    </w:p>
    <w:p>
      <w:pPr>
        <w:pStyle w:val="[Normal]"/>
        <w:spacing w:line="360" w:lineRule="auto"/>
        <w:ind w:firstLine="1134"/>
        <w:jc w:val="both"/>
        <w:rPr>
          <w:lang w:val="es-AR" w:eastAsia="es-AR" w:bidi="es-AR"/>
        </w:rPr>
      </w:pPr>
      <w:r>
        <w:rPr>
          <w:lang w:val="es-AR" w:eastAsia="es-AR" w:bidi="es-AR"/>
        </w:rPr>
        <w:t xml:space="preserve">Sostiene que dicha conclusión resulta errónea, por cuanto se encontraría acreditado en autos que el mencionado letrado posee su domicilio profesional en el inmueble sito en calle 48 N° 603 de Colón (lugar donde se originaron los hechos litigiosos) y que, además, habría tenido intervención directa en la construcción y ampliación que motivara los daños invocados.</w:t>
      </w:r>
    </w:p>
    <w:p>
      <w:pPr>
        <w:pStyle w:val="[Normal]"/>
        <w:spacing w:line="360" w:lineRule="auto"/>
        <w:ind w:firstLine="1134"/>
        <w:jc w:val="both"/>
        <w:rPr>
          <w:lang w:val="es-AR" w:eastAsia="es-AR" w:bidi="es-AR"/>
        </w:rPr>
      </w:pPr>
      <w:r>
        <w:rPr>
          <w:lang w:val="es-AR" w:eastAsia="es-AR" w:bidi="es-AR"/>
        </w:rPr>
        <w:t xml:space="preserve"> Afirma que aún no siendo titular dominial, detentaría la posesión y responsabilidad sobre el inmueble, lo que impediría excluirlo del proceso.</w:t>
      </w:r>
    </w:p>
    <w:p>
      <w:pPr>
        <w:pStyle w:val="[Normal]"/>
        <w:spacing w:line="360" w:lineRule="auto"/>
        <w:ind w:firstLine="1134"/>
        <w:jc w:val="both"/>
        <w:rPr>
          <w:lang w:val="es-AR" w:eastAsia="es-AR" w:bidi="es-AR"/>
        </w:rPr>
      </w:pPr>
      <w:r>
        <w:rPr>
          <w:lang w:val="es-AR" w:eastAsia="es-AR" w:bidi="es-AR"/>
        </w:rPr>
        <w:t xml:space="preserve">En segundo lugar, cuestiona la valoración de la prueba efectuada por la magistrada de grado, a la que tacha de arbitraria y parcial. En particular, objeta la desestimación de la prueba testimonial por considerarla insuficiente, así como la interpretación restrictiva de la pericia técnica.-</w:t>
      </w:r>
    </w:p>
    <w:p>
      <w:pPr>
        <w:pStyle w:val="[Normal]"/>
        <w:spacing w:line="360" w:lineRule="auto"/>
        <w:ind w:firstLine="1134"/>
        <w:jc w:val="both"/>
        <w:rPr>
          <w:lang w:val="es-AR" w:eastAsia="es-AR" w:bidi="es-AR"/>
        </w:rPr>
      </w:pPr>
      <w:r>
        <w:rPr>
          <w:lang w:val="es-AR" w:eastAsia="es-AR" w:bidi="es-AR"/>
        </w:rPr>
        <w:t xml:space="preserve">Señala que, si bien un primer informe no resultó concluyente, un segundo dictamen habría constatado modificaciones en la medianera que no fueron debidamente ponderadas, existiendo (a su criterio) indicios suficientes para sustentar su pretensión.</w:t>
      </w:r>
    </w:p>
    <w:p>
      <w:pPr>
        <w:pStyle w:val="[Normal]"/>
        <w:spacing w:line="360" w:lineRule="auto"/>
        <w:ind w:firstLine="1134"/>
        <w:jc w:val="both"/>
        <w:rPr>
          <w:lang w:val="es-AR" w:eastAsia="es-AR" w:bidi="es-AR"/>
        </w:rPr>
      </w:pPr>
      <w:r>
        <w:rPr>
          <w:lang w:val="es-AR" w:eastAsia="es-AR" w:bidi="es-AR"/>
        </w:rPr>
        <w:t xml:space="preserve">Se duele del rechazo de la demanda fundado en una supuesta insuficiencia probatoria, alegando que tal conclusión responde más a una falta de objetividad que a una real ausencia de prueba. </w:t>
      </w:r>
    </w:p>
    <w:p>
      <w:pPr>
        <w:pStyle w:val="[Normal]"/>
        <w:spacing w:line="360" w:lineRule="auto"/>
        <w:ind w:firstLine="1134"/>
        <w:jc w:val="both"/>
        <w:rPr>
          <w:lang w:val="es-AR" w:eastAsia="es-AR" w:bidi="es-AR"/>
        </w:rPr>
      </w:pPr>
      <w:r>
        <w:rPr>
          <w:lang w:val="es-AR" w:eastAsia="es-AR" w:bidi="es-AR"/>
        </w:rPr>
        <w:t xml:space="preserve">Destaca que tanto la realización de obras como las modificaciones en el muro medianero se encontrarían reconocidas y acreditadas en autos, lo que impondría su adecuada valoración conforme al principio de verdad objetiva.</w:t>
      </w:r>
    </w:p>
    <w:p>
      <w:pPr>
        <w:pStyle w:val="[Normal]"/>
        <w:spacing w:line="360" w:lineRule="auto"/>
        <w:ind w:firstLine="1134"/>
        <w:jc w:val="both"/>
        <w:rPr>
          <w:lang w:val="es-AR" w:eastAsia="es-AR" w:bidi="es-AR"/>
        </w:rPr>
      </w:pPr>
      <w:r>
        <w:rPr>
          <w:lang w:val="es-AR" w:eastAsia="es-AR" w:bidi="es-AR"/>
        </w:rPr>
        <w:t xml:space="preserve">Finalmente, califica de arbitraria la sentencia en cuanto, pese a rechazar el reclamo de daños por considerarlo autónomo, desestima también la acción principal, señalando que el transcurso del tiempo y la finalización de las obras habrían tornado abstracta la cuestión, consolidando una situación perjudicial para su propiedad.-</w:t>
      </w:r>
    </w:p>
    <w:p>
      <w:pPr>
        <w:pStyle w:val="[Normal]"/>
        <w:spacing w:line="360" w:lineRule="auto"/>
        <w:ind w:firstLine="1134"/>
        <w:jc w:val="both"/>
        <w:rPr>
          <w:lang w:val="es-AR" w:eastAsia="es-AR" w:bidi="es-AR"/>
        </w:rPr>
      </w:pPr>
      <w:r>
        <w:rPr>
          <w:lang w:val="es-AR" w:eastAsia="es-AR" w:bidi="es-AR"/>
        </w:rPr>
        <w:t xml:space="preserve">En función de todo ello, solicita la revocación del decisorio apelado y el acogimiento de la acción de medianería promovida.-</w:t>
      </w:r>
    </w:p>
    <w:p>
      <w:pPr>
        <w:pStyle w:val="[Normal]"/>
        <w:spacing w:line="360" w:lineRule="auto"/>
        <w:ind w:firstLine="1134"/>
        <w:jc w:val="both"/>
        <w:rPr>
          <w:lang w:val="es-AR" w:eastAsia="es-AR" w:bidi="es-AR"/>
        </w:rPr>
      </w:pPr>
      <w:r>
        <w:rPr>
          <w:lang w:val="es-AR" w:eastAsia="es-AR" w:bidi="es-AR"/>
        </w:rPr>
        <w:t xml:space="preserve">A su turno la parte demandada rebate los argumentos expuestos y solicita se rechace el recurso interpuesto.-</w:t>
      </w:r>
    </w:p>
    <w:p>
      <w:pPr>
        <w:pStyle w:val="[Normal]"/>
        <w:spacing w:line="360" w:lineRule="auto"/>
        <w:ind w:firstLine="1134"/>
        <w:jc w:val="both"/>
        <w:rPr>
          <w:lang w:val="es-AR" w:eastAsia="es-AR" w:bidi="es-AR"/>
        </w:rPr>
      </w:pPr>
      <w:r>
        <w:rPr>
          <w:lang w:val="es-AR" w:eastAsia="es-AR" w:bidi="es-AR"/>
        </w:rPr>
        <w:t xml:space="preserve">Liminarmente, corresponde examinar el cumplimiento de los recaudos de admisibilidad formal del recurso (art. 260 CPCC). En tal sentido, se advierte que el memorial contiene una crítica concreta y razonada de los fundamentos del fallo, por lo que corresponde habilitar el tratamiento del remedio recursivo.-</w:t>
      </w:r>
    </w:p>
    <w:p>
      <w:pPr>
        <w:pStyle w:val="[Normal]"/>
        <w:spacing w:line="360" w:lineRule="auto"/>
        <w:ind w:firstLine="1134"/>
        <w:jc w:val="both"/>
        <w:rPr>
          <w:lang w:val="es-AR" w:eastAsia="es-AR" w:bidi="es-AR"/>
        </w:rPr>
      </w:pPr>
      <w:r>
        <w:rPr>
          <w:lang w:val="es-AR" w:eastAsia="es-AR" w:bidi="es-AR"/>
        </w:rPr>
        <w:t xml:space="preserve">Sentado ello, cabe señalar que la revisión comprende tanto la procedencia de la excepción de falta de legitimación pasiva respecto del codemandado Visintini como el rechazo de la pretensión por insuficiencia probatoria, en particular en lo atinente a la acreditación del daño y su nexo causal.-</w:t>
      </w:r>
    </w:p>
    <w:p>
      <w:pPr>
        <w:pStyle w:val="[Normal]"/>
        <w:spacing w:line="360" w:lineRule="auto"/>
        <w:ind w:firstLine="1134"/>
        <w:jc w:val="both"/>
        <w:rPr>
          <w:lang w:val="es-AR" w:eastAsia="es-AR" w:bidi="es-AR"/>
        </w:rPr>
      </w:pPr>
      <w:r>
        <w:rPr>
          <w:lang w:val="es-AR" w:eastAsia="es-AR" w:bidi="es-AR"/>
        </w:rPr>
        <w:t xml:space="preserve">Debo comenzar señalando que analizados los agravios a la luz de las constancias de la causa y del derecho aplicable, adelanto que los mismos no logran conmover los sólidos fundamentos del decisorio recurrido.-</w:t>
      </w:r>
    </w:p>
    <w:p>
      <w:pPr>
        <w:pStyle w:val="[Normal]"/>
        <w:spacing w:line="360" w:lineRule="auto"/>
        <w:ind w:firstLine="1134"/>
        <w:jc w:val="both"/>
        <w:rPr>
          <w:lang w:val="es-AR" w:eastAsia="es-AR" w:bidi="es-AR"/>
        </w:rPr>
      </w:pPr>
      <w:r>
        <w:rPr>
          <w:lang w:val="es-AR" w:eastAsia="es-AR" w:bidi="es-AR"/>
        </w:rPr>
        <w:t xml:space="preserve">En lo que respecta al primero de ellos, esto es, la falta de legitimación pasiva del señor Visintini, la crítica del apelante se limita a insistir en que aquél desarrollaría actividades en el inmueble lindero, que se comporta como poseedor del mismo y que habría tenido alguna vinculación con la obra cuestionada.-</w:t>
      </w:r>
    </w:p>
    <w:p>
      <w:pPr>
        <w:pStyle w:val="[Normal]"/>
        <w:spacing w:line="360" w:lineRule="auto"/>
        <w:ind w:firstLine="1134"/>
        <w:jc w:val="both"/>
        <w:rPr>
          <w:lang w:val="es-AR" w:eastAsia="es-AR" w:bidi="es-AR"/>
        </w:rPr>
      </w:pPr>
      <w:r>
        <w:rPr>
          <w:lang w:val="es-AR" w:eastAsia="es-AR" w:bidi="es-AR"/>
        </w:rPr>
        <w:t xml:space="preserve"> Sin embargo, tales afirmaciones no superan el plano meramente conjetural. Tal como correctamente ponderó la magistrada de grado, aún cuando en materia de relaciones de vecindad la legitimación puede extenderse a poseedores o tenedores, ello exige la acreditación de una intervención concreta en el hecho dañoso. </w:t>
      </w:r>
    </w:p>
    <w:p>
      <w:pPr>
        <w:pStyle w:val="[Normal]"/>
        <w:spacing w:line="360" w:lineRule="auto"/>
        <w:ind w:firstLine="1134"/>
        <w:jc w:val="both"/>
        <w:rPr>
          <w:lang w:val="es-AR" w:eastAsia="es-AR" w:bidi="es-AR"/>
        </w:rPr>
      </w:pPr>
      <w:r>
        <w:rPr>
          <w:lang w:val="es-AR" w:eastAsia="es-AR" w:bidi="es-AR"/>
        </w:rPr>
        <w:t xml:space="preserve">Y en el caso, no se ha producido prueba idónea que permita vincular al mencionado con la ejecución, dirección o promoción de la obra.</w:t>
      </w:r>
    </w:p>
    <w:p>
      <w:pPr>
        <w:pStyle w:val="[Normal]"/>
        <w:spacing w:line="360" w:lineRule="auto"/>
        <w:ind w:firstLine="1134"/>
        <w:jc w:val="both"/>
        <w:rPr>
          <w:lang w:val="es-AR" w:eastAsia="es-AR" w:bidi="es-AR"/>
        </w:rPr>
      </w:pPr>
      <w:r>
        <w:rPr>
          <w:lang w:val="es-AR" w:eastAsia="es-AR" w:bidi="es-AR"/>
        </w:rPr>
        <w:t xml:space="preserve"> La sola remisión a una carta documento o a inferencias subjetivas del actor carece de entidad suficiente para desvirtuar esa conclusión.-</w:t>
      </w:r>
    </w:p>
    <w:p>
      <w:pPr>
        <w:pStyle w:val="[Normal]"/>
        <w:spacing w:line="360" w:lineRule="auto"/>
        <w:ind w:firstLine="1134"/>
        <w:jc w:val="both"/>
        <w:rPr>
          <w:lang w:val="es-AR" w:eastAsia="es-AR" w:bidi="es-AR"/>
        </w:rPr>
      </w:pPr>
      <w:r>
        <w:rPr>
          <w:lang w:val="es-AR" w:eastAsia="es-AR" w:bidi="es-AR"/>
        </w:rPr>
        <w:t xml:space="preserve">Asimismo, ha quedado acreditado que la titular dominial del inmueble en cuestión es la señora Silvana Luján Serra, circunstancia que tornaba suficiente, a los fines de la adecuada integración de la litis, su comparecencia al proceso, sin que resultara necesario extender la acción respecto de quien no se probó vinculación jurídica con el bien.-</w:t>
      </w:r>
    </w:p>
    <w:p>
      <w:pPr>
        <w:pStyle w:val="[Normal]"/>
        <w:spacing w:line="360" w:lineRule="auto"/>
        <w:ind w:firstLine="1134"/>
        <w:jc w:val="both"/>
        <w:rPr>
          <w:lang w:val="es-AR" w:eastAsia="es-AR" w:bidi="es-AR"/>
        </w:rPr>
      </w:pPr>
      <w:r>
        <w:rPr>
          <w:lang w:val="es-AR" w:eastAsia="es-AR" w:bidi="es-AR"/>
        </w:rPr>
        <w:t xml:space="preserve">En cuanto a la valoración de la prueba, cabe recordar que los jueces gozan de amplias facultades para apreciarla conforme a las reglas de la sana crítica (art. 384 CPCC), sin que estén obligados a ponderar todos y cada uno de los elementos incorporados, sino únicamente aquellos que resulten conducentes para la correcta decisión del litigio.-</w:t>
      </w:r>
    </w:p>
    <w:p>
      <w:pPr>
        <w:pStyle w:val="[Normal]"/>
        <w:spacing w:line="360" w:lineRule="auto"/>
        <w:ind w:firstLine="1134"/>
        <w:jc w:val="both"/>
        <w:rPr>
          <w:lang w:val="es-AR" w:eastAsia="es-AR" w:bidi="es-AR"/>
        </w:rPr>
      </w:pPr>
      <w:r>
        <w:rPr>
          <w:lang w:val="es-AR" w:eastAsia="es-AR" w:bidi="es-AR"/>
        </w:rPr>
        <w:t xml:space="preserve">Desde esta perspectiva, no se advierte arbitrariedad alguna en el análisis efectuado en la instancia anterior desde que la sentencia recurrida se encuentra debidamente fundada y apoyada en las constancias de la causa.-</w:t>
      </w:r>
    </w:p>
    <w:p>
      <w:pPr>
        <w:pStyle w:val="[Normal]"/>
        <w:spacing w:line="360" w:lineRule="auto"/>
        <w:ind w:firstLine="1134"/>
        <w:jc w:val="both"/>
        <w:rPr>
          <w:lang w:val="es-AR" w:eastAsia="es-AR" w:bidi="es-AR"/>
        </w:rPr>
      </w:pPr>
      <w:r>
        <w:rPr>
          <w:lang w:val="es-AR" w:eastAsia="es-AR" w:bidi="es-AR"/>
        </w:rPr>
        <w:t xml:space="preserve">Particularmente, la declaración testimonial invocada por el apelante no reviste la eficacia probatoria que pretende atribuírsele. Se trata de un testimonio carente de precisión técnica y sustentado en apreciaciones subjetivas, que no permite establecer con el grado de certeza requerido ni la existencia de los daños en los términos denunciados.-</w:t>
      </w:r>
    </w:p>
    <w:p>
      <w:pPr>
        <w:pStyle w:val="[Normal]"/>
        <w:spacing w:line="360" w:lineRule="auto"/>
        <w:ind w:firstLine="1134"/>
        <w:jc w:val="both"/>
        <w:rPr>
          <w:lang w:val="es-AR" w:eastAsia="es-AR" w:bidi="es-AR"/>
        </w:rPr>
      </w:pPr>
      <w:r>
        <w:rPr>
          <w:lang w:val="es-AR" w:eastAsia="es-AR" w:bidi="es-AR"/>
        </w:rPr>
        <w:t xml:space="preserve">La crítica del recurrente, en este punto, se reduce a disentir con la valoración efectuada, sin demostrar error lógico o apartamiento de las reglas de la experiencia.-</w:t>
      </w:r>
    </w:p>
    <w:p>
      <w:pPr>
        <w:pStyle w:val="[Normal]"/>
        <w:spacing w:line="360" w:lineRule="auto"/>
        <w:ind w:firstLine="1134"/>
        <w:jc w:val="both"/>
        <w:rPr>
          <w:lang w:val="es-AR" w:eastAsia="es-AR" w:bidi="es-AR"/>
        </w:rPr>
      </w:pPr>
      <w:r>
        <w:rPr>
          <w:lang w:val="es-AR" w:eastAsia="es-AR" w:bidi="es-AR"/>
        </w:rPr>
        <w:t xml:space="preserve">Más relevante aún resulta la pericia técnica producida por el ingeniero civil Gustavo Foresi, en la cual el profesional solo se limita a dar cuenta de las medidas de la medianera y la antigüedad de la misma. Sin embargo el perito no estableció relación causal alguna entre los trabajos realizados con los daños alegados.-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Tiene dicho la Suprema Corte de Justicia provincial que </w:t>
      </w:r>
      <w:r>
        <w:rPr>
          <w:rFonts w:ascii="Arial" w:hAnsi="Arial" w:eastAsia="Arial" w:cs="Arial"/>
          <w:i/>
          <w:sz w:val="24"/>
          <w:lang w:val="es-AR" w:eastAsia="es-AR" w:bidi="es-AR"/>
        </w:rPr>
        <w:t xml:space="preserve">"Cuando se impugna una tarea propia de las instancias ordinarias, tal como lo es la valoración de una pericia, es imprescindible demostrar -a más de denunciar- fehacientemente que el procedimiento lógico-jurídico empleado por el juzgador ha devenido irrazonable y contradictorio con las circunstancias de la causa"</w:t>
      </w:r>
      <w:r>
        <w:rPr>
          <w:rFonts w:ascii="Arial" w:hAnsi="Arial" w:eastAsia="Arial" w:cs="Arial"/>
          <w:sz w:val="24"/>
          <w:lang w:val="es-AR" w:eastAsia="es-AR" w:bidi="es-AR"/>
        </w:rPr>
        <w:t xml:space="preserve"> (SCBA LP A 72024 RSD-383-16 S 21/12/2016 JUBA B4005636).-</w:t>
      </w:r>
    </w:p>
    <w:p>
      <w:pPr>
        <w:pStyle w:val="[Normal]"/>
        <w:spacing w:line="360" w:lineRule="auto"/>
        <w:ind w:firstLine="1134"/>
        <w:jc w:val="both"/>
        <w:rPr>
          <w:lang w:val="es-AR" w:eastAsia="es-AR" w:bidi="es-AR"/>
        </w:rPr>
      </w:pPr>
      <w:r>
        <w:rPr>
          <w:lang w:val="es-AR" w:eastAsia="es-AR" w:bidi="es-AR"/>
        </w:rPr>
        <w:t xml:space="preserve">Nada de ello acontece en la especie, en tanto el intento de la recurrente no alcanza a conmover la apreciación de la prueba, ni las conclusiones a las que se arribó en la sentencia impugnada.-</w:t>
      </w:r>
    </w:p>
    <w:p>
      <w:pPr>
        <w:pStyle w:val="[Normal]"/>
        <w:spacing w:line="360" w:lineRule="auto"/>
        <w:ind w:firstLine="1134"/>
        <w:jc w:val="both"/>
        <w:rPr>
          <w:lang w:val="es-AR" w:eastAsia="es-AR" w:bidi="es-AR"/>
        </w:rPr>
      </w:pPr>
      <w:r>
        <w:rPr>
          <w:lang w:val="es-AR" w:eastAsia="es-AR" w:bidi="es-AR"/>
        </w:rPr>
        <w:t xml:space="preserve">Como es sabido en los procesos dispositivos, quien afirma un hecho controvertido debe acreditarlo, y la insuficiencia de prueba sobre extremos esenciales conduce inexorablemente al rechazo de la pretensión.-</w:t>
      </w:r>
    </w:p>
    <w:p>
      <w:pPr>
        <w:pStyle w:val="[Normal]"/>
        <w:spacing w:line="360" w:lineRule="auto"/>
        <w:ind w:firstLine="1134"/>
        <w:jc w:val="both"/>
        <w:rPr>
          <w:lang w:val="es-AR" w:eastAsia="es-AR" w:bidi="es-AR"/>
        </w:rPr>
      </w:pPr>
      <w:r>
        <w:rPr>
          <w:lang w:val="es-AR" w:eastAsia="es-AR" w:bidi="es-AR"/>
        </w:rPr>
        <w:t xml:space="preserve"> No basta la mera existencia de trabajos sobre un muro lindero para hacer lugar a la pretensión si no se demuestra, en forma concreta y fehaciente, la existencia de un perjuicio jurídicamente relevante y su vinculación causal con la conducta de la contraria.-</w:t>
      </w:r>
    </w:p>
    <w:p>
      <w:pPr>
        <w:pStyle w:val="[Normal]"/>
        <w:spacing w:line="360" w:lineRule="auto"/>
        <w:ind w:firstLine="1134"/>
        <w:jc w:val="both"/>
        <w:rPr>
          <w:lang w:val="es-AR" w:eastAsia="es-AR" w:bidi="es-AR"/>
        </w:rPr>
      </w:pPr>
      <w:r>
        <w:rPr>
          <w:lang w:val="es-AR" w:eastAsia="es-AR" w:bidi="es-AR"/>
        </w:rPr>
        <w:t xml:space="preserve">En definitiva, los agravios vertidos no logran desvirtuar los fundamentos esenciales del fallo apelado, el cual debe ser desde aquí confirmado.-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la parte actora y en su mérito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por la parte actora y en su mérito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10:22:59 -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10:40:24 -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10:49:06 -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‰99")è&amp;wt}'Š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252502090006878493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21/04/2026 10:49:47 hs. bajo el número RS-58-2026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