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5965-25</w:t>
      </w:r>
      <w:r>
        <w:rPr>
          <w:lang w:val="es-AR" w:eastAsia="es-AR" w:bidi="es-AR"/>
        </w:rPr>
        <w:t xml:space="preserve"> caratulada </w:t>
      </w:r>
      <w:r>
        <w:rPr>
          <w:b/>
          <w:lang w:val="es-AR" w:eastAsia="es-AR" w:bidi="es-AR"/>
        </w:rPr>
        <w:t xml:space="preserve">"</w:t>
      </w:r>
      <w:r>
        <w:rPr>
          <w:b/>
          <w:color w:val="000000"/>
          <w:lang w:val="es-AR" w:eastAsia="es-AR" w:bidi="es-AR"/>
        </w:rPr>
        <w:t xml:space="preserve">VILLALBA ISABEL C/ MARTINEZ IVAN DANIEL Y OTRO/A S/ DAÑOS Y PERJ.AUTOM. C/LES. O MUERTE (EXC.ESTADO)</w:t>
      </w:r>
      <w:r>
        <w:rPr>
          <w:b/>
          <w:lang w:val="es-AR" w:eastAsia="es-AR" w:bidi="es-AR"/>
        </w:rPr>
        <w:t xml:space="preserve">"</w:t>
      </w:r>
      <w:r>
        <w:rPr>
          <w:lang w:val="es-AR" w:eastAsia="es-AR" w:bidi="es-AR"/>
        </w:rPr>
        <w:t xml:space="preserve">, Expte. N° </w:t>
      </w:r>
      <w:r>
        <w:rPr>
          <w:color w:val="000000"/>
          <w:lang w:val="es-AR" w:eastAsia="es-AR" w:bidi="es-AR"/>
        </w:rPr>
        <w:t xml:space="preserve">90.095 </w:t>
      </w:r>
      <w:r>
        <w:rPr>
          <w:lang w:val="es-AR" w:eastAsia="es-AR" w:bidi="es-AR"/>
        </w:rPr>
        <w:t xml:space="preserve">del Juzgado Civil y Comercial N° 2</w:t>
      </w:r>
      <w:r>
        <w:rPr>
          <w:color w:val="0000FF"/>
          <w:lang w:val="es-AR" w:eastAsia="es-AR" w:bidi="es-AR"/>
        </w:rPr>
        <w:t xml:space="preserve">,</w:t>
      </w:r>
      <w:r>
        <w:rPr>
          <w:lang w:val="es-AR" w:eastAsia="es-AR" w:bidi="es-AR"/>
        </w:rPr>
        <w:t xml:space="preserve"> se practicó el sorteo de ley que determinó que la votación debía efectuarse en el siguiente orden: Roberto Degleue y Graciela Scaraffia</w:t>
      </w:r>
      <w:r>
        <w:rPr>
          <w:color w:val="0000FF"/>
          <w:lang w:val="es-AR" w:eastAsia="es-AR" w:bidi="es-AR"/>
        </w:rPr>
        <w:t xml:space="preserve">,</w:t>
      </w:r>
      <w:r>
        <w:rPr>
          <w:lang w:val="es-AR" w:eastAsia="es-AR" w:bidi="es-AR"/>
        </w:rPr>
        <w:t xml:space="preserv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 ?</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w:t>
      </w:r>
      <w:r>
        <w:rPr>
          <w:color w:val="0000FF"/>
          <w:lang w:val="es-AR" w:eastAsia="es-AR" w:bidi="es-AR"/>
        </w:rPr>
        <w:t xml:space="preserve"> </w:t>
      </w:r>
      <w:r>
        <w:rPr>
          <w:lang w:val="es-AR" w:eastAsia="es-AR" w:bidi="es-AR"/>
        </w:rPr>
        <w:t xml:space="preserve">dijo:</w:t>
      </w:r>
    </w:p>
    <w:p>
      <w:pPr>
        <w:pStyle w:val="[Normal]"/>
        <w:spacing w:line="360" w:lineRule="auto"/>
        <w:ind w:firstLine="1134"/>
        <w:jc w:val="both"/>
        <w:rPr>
          <w:lang w:val="es-AR" w:eastAsia="es-AR" w:bidi="es-AR"/>
        </w:rPr>
      </w:pPr>
      <w:r>
        <w:rPr>
          <w:lang w:val="es-AR" w:eastAsia="es-AR" w:bidi="es-AR"/>
        </w:rPr>
        <w:t xml:space="preserve">El señor Juez de la anterior sede en lo que interesa reguló mediante la resolución en crisis los honorarios de la mediadora prejudicial María Paula Gospodnetich en la suma de  20,87 JUS arancelarios.-</w:t>
      </w:r>
    </w:p>
    <w:p>
      <w:pPr>
        <w:pStyle w:val="[Normal]"/>
        <w:spacing w:line="360" w:lineRule="auto"/>
        <w:ind w:firstLine="1134"/>
        <w:jc w:val="both"/>
        <w:rPr>
          <w:lang w:val="es-AR" w:eastAsia="es-AR" w:bidi="es-AR"/>
        </w:rPr>
      </w:pPr>
      <w:r>
        <w:rPr>
          <w:lang w:val="es-AR" w:eastAsia="es-AR" w:bidi="es-AR"/>
        </w:rPr>
        <w:t xml:space="preserve">Disconforme con lo resuelto apela  el apoderado de la citada en garantía 9-12-2025. Dicho recurso es concedido el 10-12-2025 y fundado el 16-12-2025, siendo contestando el traslado conferido a la Dra. Gospodnetich en fecha 22-12-2025.</w:t>
      </w:r>
    </w:p>
    <w:p>
      <w:pPr>
        <w:pStyle w:val="[Normal]"/>
        <w:spacing w:line="360" w:lineRule="auto"/>
        <w:ind w:firstLine="1134"/>
        <w:jc w:val="both"/>
        <w:rPr>
          <w:lang w:val="es-AR" w:eastAsia="es-AR" w:bidi="es-AR"/>
        </w:rPr>
      </w:pPr>
      <w:r>
        <w:rPr>
          <w:lang w:val="es-AR" w:eastAsia="es-AR" w:bidi="es-AR"/>
        </w:rPr>
        <w:t xml:space="preserve">Ingresados los autos a esta Alzada el 29-12-2025 se dicta llamamiento de autos para resolver, providencia que firme a la fecha deja la causa en condiciones de ser resuelta.</w:t>
      </w:r>
    </w:p>
    <w:p>
      <w:pPr>
        <w:pStyle w:val="[Normal]"/>
        <w:spacing w:line="360" w:lineRule="auto"/>
        <w:ind w:firstLine="1134"/>
        <w:jc w:val="both"/>
        <w:rPr>
          <w:lang w:val="es-AR" w:eastAsia="es-AR" w:bidi="es-AR"/>
        </w:rPr>
      </w:pPr>
      <w:r>
        <w:rPr>
          <w:lang w:val="es-AR" w:eastAsia="es-AR" w:bidi="es-AR"/>
        </w:rPr>
        <w:t xml:space="preserve">El recurrente se agravia de los honorarios fijados en favor de la mediadora por elevados, principalmente alude a la desproporción entre el monto del acuerdo ($10.000.000) y los emolumentos regulados en favor de la Dra. Paula Gospodnetich, que representan mas de un 9% del capital transado.</w:t>
      </w:r>
    </w:p>
    <w:p>
      <w:pPr>
        <w:pStyle w:val="[Normal]"/>
        <w:spacing w:line="360" w:lineRule="auto"/>
        <w:ind w:firstLine="1134"/>
        <w:jc w:val="both"/>
        <w:rPr>
          <w:lang w:val="es-AR" w:eastAsia="es-AR" w:bidi="es-AR"/>
        </w:rPr>
      </w:pPr>
      <w:r>
        <w:rPr>
          <w:lang w:val="es-AR" w:eastAsia="es-AR" w:bidi="es-AR"/>
        </w:rPr>
        <w:t xml:space="preserve">Asimismo solicita la declaración de la inconstitucionalidad de las normas con que el Juzgador de la instancia anterior pretende fundar tal determinación arancelaria. Cita jurisprudencia de aplicación.</w:t>
      </w:r>
    </w:p>
    <w:p>
      <w:pPr>
        <w:pStyle w:val="[Normal]"/>
        <w:spacing w:line="360" w:lineRule="auto"/>
        <w:ind w:firstLine="1134"/>
        <w:jc w:val="both"/>
        <w:rPr>
          <w:lang w:val="es-AR" w:eastAsia="es-AR" w:bidi="es-AR"/>
        </w:rPr>
      </w:pPr>
      <w:r>
        <w:rPr>
          <w:lang w:val="es-AR" w:eastAsia="es-AR" w:bidi="es-AR"/>
        </w:rPr>
        <w:t xml:space="preserve"> Añade que la mediadora en solamente una audiencia culminó su labor, la que no le insumiera más de diez o quince minutos de intervención, por lo cual, poco o nada aportó en aquella ocasión que ante las dificultades propias que proponía la situación y las marcadas versiones contrapuestas que las partes ventilaron sobre la mecánica del siniestro fracasó en su función en el presente, lo que no va en desmedro de la calidad profesional de la Dra. Gospodnetich quien tanto en su labor mediadora como en la de abogada, se desempeña con excelencia. Cita jurisprudencia en apoyo a su postura.</w:t>
      </w:r>
    </w:p>
    <w:p>
      <w:pPr>
        <w:pStyle w:val="[Normal]"/>
        <w:spacing w:line="360" w:lineRule="auto"/>
        <w:ind w:firstLine="1134"/>
        <w:jc w:val="both"/>
        <w:rPr>
          <w:lang w:val="es-AR" w:eastAsia="es-AR" w:bidi="es-AR"/>
        </w:rPr>
      </w:pPr>
      <w:r>
        <w:rPr>
          <w:lang w:val="es-AR" w:eastAsia="es-AR" w:bidi="es-AR"/>
        </w:rPr>
        <w:t xml:space="preserve">Sostiene que la forma de calcular los honorarios de los mediadores en atención sólo a la suma reclamada torna arbitraria tal estimación (Art. 17 C.N.), como confiscatoria para su parte obligada al pago.</w:t>
      </w:r>
    </w:p>
    <w:p>
      <w:pPr>
        <w:pStyle w:val="[Normal]"/>
        <w:spacing w:line="360" w:lineRule="auto"/>
        <w:ind w:firstLine="1134"/>
        <w:jc w:val="both"/>
        <w:rPr>
          <w:lang w:val="es-AR" w:eastAsia="es-AR" w:bidi="es-AR"/>
        </w:rPr>
      </w:pPr>
      <w:r>
        <w:rPr>
          <w:lang w:val="es-AR" w:eastAsia="es-AR" w:bidi="es-AR"/>
        </w:rPr>
        <w:t xml:space="preserve">Considera  de aplicación el Art.16 de la Lay 14.967 cuyas pautas  no han sido puestas en práctica en autos para determinar los honorarios del mediador; siendo solo de referencia el monto del acuerdo, cuestionando también la forma de regular los honorarios a los mediadores dado que implica un encarecimiento desproporcionado que vulnera el acceso a la Justicia.</w:t>
      </w:r>
    </w:p>
    <w:p>
      <w:pPr>
        <w:pStyle w:val="[Normal]"/>
        <w:spacing w:line="360" w:lineRule="auto"/>
        <w:ind w:firstLine="1134"/>
        <w:jc w:val="both"/>
        <w:rPr>
          <w:lang w:val="es-AR" w:eastAsia="es-AR" w:bidi="es-AR"/>
        </w:rPr>
      </w:pPr>
      <w:r>
        <w:rPr>
          <w:lang w:val="es-AR" w:eastAsia="es-AR" w:bidi="es-AR"/>
        </w:rPr>
        <w:t xml:space="preserve">Asimismo refiere que el Art. 730 CCCN dispone que el pago de las costas no debe exceder del 25 % del monto de la sentencia que ponga fin al pleito.  Es una forma de limitar el encarecimiento de los procesos judiciales.</w:t>
      </w:r>
    </w:p>
    <w:p>
      <w:pPr>
        <w:pStyle w:val="[Normal]"/>
        <w:spacing w:line="360" w:lineRule="auto"/>
        <w:ind w:firstLine="1134"/>
        <w:jc w:val="both"/>
        <w:rPr>
          <w:lang w:val="es-AR" w:eastAsia="es-AR" w:bidi="es-AR"/>
        </w:rPr>
      </w:pPr>
      <w:r>
        <w:rPr>
          <w:lang w:val="es-AR" w:eastAsia="es-AR" w:bidi="es-AR"/>
        </w:rPr>
        <w:t xml:space="preserve">Señala que en el caso,  ese gasto mayor nace, hoy sujeto a la decisión de esta Alzada, cuando la mediación no prosperó. Por el contrario si la mediación hubiera sido útil, su parte obligada al pago no debería abonar los honorarios de los abogados por labores judiciales o los demás gastos del proceso. </w:t>
      </w:r>
    </w:p>
    <w:p>
      <w:pPr>
        <w:pStyle w:val="[Normal]"/>
        <w:spacing w:line="360" w:lineRule="auto"/>
        <w:ind w:firstLine="1134"/>
        <w:jc w:val="both"/>
        <w:rPr>
          <w:lang w:val="es-AR" w:eastAsia="es-AR" w:bidi="es-AR"/>
        </w:rPr>
      </w:pPr>
      <w:r>
        <w:rPr>
          <w:lang w:val="es-AR" w:eastAsia="es-AR" w:bidi="es-AR"/>
        </w:rPr>
        <w:t xml:space="preserve">Por último formula un planteo respecto a la proporcionalidad que deben guardar los emolumentos del mediador con las tareas desplegadas por  los letrados que intervinieran a lo largo del proceso. Cita fallo de aplicación.</w:t>
      </w:r>
    </w:p>
    <w:p>
      <w:pPr>
        <w:pStyle w:val="[Normal]"/>
        <w:spacing w:line="360" w:lineRule="auto"/>
        <w:ind w:firstLine="1134"/>
        <w:jc w:val="both"/>
        <w:rPr>
          <w:lang w:val="es-AR" w:eastAsia="es-AR" w:bidi="es-AR"/>
        </w:rPr>
      </w:pPr>
      <w:r>
        <w:rPr>
          <w:lang w:val="es-AR" w:eastAsia="es-AR" w:bidi="es-AR"/>
        </w:rPr>
        <w:t xml:space="preserve">Peticiona se revoque el auto que regula honorarios de la mediadora prejudicial, se los disminuya sensiblemente, adecuándose los mismos no sólo al valor del litigio,  sino también a la importancia, alcance, entidad y eficacia de las tareas efectivamente desempeñadas, procediendo a declarar  la inconstitucionalidad de las normas aplicadas; o bien, haga uso de la facultad morigeradora otorgada a los jueces por el actual Art. 1255 del CCCN.</w:t>
      </w:r>
    </w:p>
    <w:p>
      <w:pPr>
        <w:pStyle w:val="[Normal]"/>
        <w:spacing w:line="360" w:lineRule="auto"/>
        <w:ind w:firstLine="1134"/>
        <w:jc w:val="both"/>
        <w:rPr>
          <w:lang w:val="es-AR" w:eastAsia="es-AR" w:bidi="es-AR"/>
        </w:rPr>
      </w:pPr>
      <w:r>
        <w:rPr>
          <w:lang w:val="es-AR" w:eastAsia="es-AR" w:bidi="es-AR"/>
        </w:rPr>
        <w:t xml:space="preserve">A su turno la mediadora rechaza el planteo de la citada en garantía expresando que la pretensión recursiva del apelante no cumple los recaudos exigidos por el art. 260 del CPC. Señala que sus honorarios fueron fijados conforme a la normativa vigente. Destaca que su labor no se limita a una audiencia, sino que comprende toda la etapa prejudicial. Sostiene que sus emolumentos tienen carácter alimentario y no pueden ser reducidos ni incluidos en el prorrateo del art. 730 del CCyC, por lo que solicita el rechazo del recurso con costas.</w:t>
      </w:r>
    </w:p>
    <w:p>
      <w:pPr>
        <w:pStyle w:val="[Normal]"/>
        <w:spacing w:line="360" w:lineRule="auto"/>
        <w:ind w:firstLine="1134"/>
        <w:jc w:val="both"/>
        <w:rPr>
          <w:lang w:val="es-AR" w:eastAsia="es-AR" w:bidi="es-AR"/>
        </w:rPr>
      </w:pPr>
      <w:r>
        <w:rPr>
          <w:lang w:val="es-AR" w:eastAsia="es-AR" w:bidi="es-AR"/>
        </w:rPr>
        <w:t xml:space="preserve">Liminarmente en relación a la cuestión planteada expresamente por la mediadora en su responde relativa al incumplimiento de los recaudos establecidos por el art. 260 del CPCC por parte de la recurrente, cabe señalar que de la lectura del memorial arrimado por la citada en garantía se advierte una crítica concreta y razonada del fallo apelado que logra superar mínimamente las exigencias técnicas previstas por el ritual en la materia, por lo que abastece el tratamiento del remedio recursivo.</w:t>
      </w:r>
    </w:p>
    <w:p>
      <w:pPr>
        <w:pStyle w:val="[Normal]"/>
        <w:spacing w:line="360" w:lineRule="auto"/>
        <w:ind w:firstLine="1134"/>
        <w:jc w:val="both"/>
        <w:rPr>
          <w:b/>
          <w:lang w:val="es-AR" w:eastAsia="es-AR" w:bidi="es-AR"/>
        </w:rPr>
      </w:pPr>
      <w:r>
        <w:rPr>
          <w:lang w:val="es-AR" w:eastAsia="es-AR" w:bidi="es-AR"/>
        </w:rPr>
        <w:t xml:space="preserve">Ya en tarea de resolver ha de recordarse que éste Tribunal en reiteradas oportunidades en análogos cuestionamientos,  ha reconocido la potestad del juzgador para adecuar los honorarios de los Mediadores sin llegar a la declaración de inconstitucionalidad de la normativa referida (CAP, C. N° 2464, 3889, 2631, 4818 entre otras), la que sabido es que por su extrema gravedad  debe ser considerada como última ratio del orden jurídico. En este sentido, hemos concluido que no existe interés procesal en la declaración de inconstitucionalidad de la normativa específica aplicada por el juzgado para regular los honorarios de la mediadora, porque la misma no impide a su vez la eventual aplicación del art. 1255 2do. párrafo del</w:t>
      </w:r>
      <w:r>
        <w:rPr>
          <w:b/>
          <w:lang w:val="es-AR" w:eastAsia="es-AR" w:bidi="es-AR"/>
        </w:rPr>
        <w:t xml:space="preserve"> </w:t>
      </w:r>
      <w:r>
        <w:rPr>
          <w:lang w:val="es-AR" w:eastAsia="es-AR" w:bidi="es-AR"/>
        </w:rPr>
        <w:t xml:space="preserve">CCyC que posibilita morigerar los aranceles si la aplicación estricta de la ley conduce a una evidente e injustificada desproporción entre la retribución resultante y la importancia de la labor cumplida (en este sentido CAP N° 5306 RSD 90/2024).</w:t>
      </w:r>
    </w:p>
    <w:p>
      <w:pPr>
        <w:pStyle w:val="[Normal]"/>
        <w:spacing w:line="360" w:lineRule="auto"/>
        <w:ind w:firstLine="1134"/>
        <w:jc w:val="both"/>
        <w:rPr>
          <w:b/>
          <w:lang w:val="es-AR" w:eastAsia="es-AR" w:bidi="es-AR"/>
        </w:rPr>
      </w:pPr>
      <w:r>
        <w:rPr>
          <w:lang w:val="es-AR" w:eastAsia="es-AR" w:bidi="es-AR"/>
        </w:rPr>
        <w:t xml:space="preserve">Sentado ello, corresponde adentrarse en el tratamiento del recurso en tanto el agravio lo constituye el monto regulado a la Dra. Maria Paula Gospodnetich por su trabajo como Mediadora que en la instancia de origen se los determinó en la suma equivalente a 20,87 jus de unidad arancelaria y que la apelante entiende desproporcionados.</w:t>
      </w:r>
    </w:p>
    <w:p>
      <w:pPr>
        <w:pStyle w:val="[Normal]"/>
        <w:spacing w:line="360" w:lineRule="auto"/>
        <w:ind w:firstLine="1134"/>
        <w:jc w:val="both"/>
        <w:rPr>
          <w:b/>
          <w:lang w:val="es-AR" w:eastAsia="es-AR" w:bidi="es-AR"/>
        </w:rPr>
      </w:pPr>
      <w:r>
        <w:rPr>
          <w:lang w:val="es-AR" w:eastAsia="es-AR" w:bidi="es-AR"/>
        </w:rPr>
        <w:t xml:space="preserve">Para ello considero oportuno señalar que no comparto los argumentos expuestos por el letrado de la citada en garantía que reducen la labor de la mediadora a la intervención en una sola audiencia de corta duración, y que ello sea factor determinante para solicitar la reducción de los honorarios profesionales.</w:t>
      </w:r>
    </w:p>
    <w:p>
      <w:pPr>
        <w:pStyle w:val="[Normal]"/>
        <w:spacing w:line="360" w:lineRule="auto"/>
        <w:ind w:firstLine="1134"/>
        <w:jc w:val="both"/>
        <w:rPr>
          <w:lang w:val="es-AR" w:eastAsia="es-AR" w:bidi="es-AR"/>
        </w:rPr>
      </w:pPr>
      <w:r>
        <w:rPr>
          <w:lang w:val="es-AR" w:eastAsia="es-AR" w:bidi="es-AR"/>
        </w:rPr>
        <w:t xml:space="preserve">Resulta pertinente recordar la finalidad que el legislador provincial tuvo al sancionar la Ley de Mediación, esto es, otorgarle a la ciudadanía una herramienta alternativa prejudicial de resolución de conflictos para que éstos se resuelvan a la mayor brevedad posible y cuyos beneficios van más allá del interés de las partes, dado que se extiende a las bondades que de ello se derivan, como ser una menor judicialización de las causas, que redunda en un mejor servicio de justicia; toda vez que el justiciable compone el litigio en un tiempo concomitante con el hecho lo que derrama en un beneficio tanto para el particular como para la comunidad (conf. CAP C. N° 4822 RSD 47/2023 del 18-4-2023; N° 4334 RS-143-2022 del 24-11-2022, entre. otr). </w:t>
      </w:r>
    </w:p>
    <w:p>
      <w:pPr>
        <w:pStyle w:val="[Normal]"/>
        <w:spacing w:line="360" w:lineRule="auto"/>
        <w:ind w:firstLine="1134"/>
        <w:jc w:val="both"/>
        <w:rPr>
          <w:b/>
          <w:lang w:val="es-AR" w:eastAsia="es-AR" w:bidi="es-AR"/>
        </w:rPr>
      </w:pPr>
      <w:r>
        <w:rPr>
          <w:lang w:val="es-AR" w:eastAsia="es-AR" w:bidi="es-AR"/>
        </w:rPr>
        <w:t xml:space="preserve">A mayor abundamiento, cabe agregar que la operatividad del principio de confidencialidad en materia de mediación prejudicial (art. 1 y 16 de la ley 13.951) limita la posibilidad de valorar integralmente la entidad, calidad y cantidad de la prestación profesional brindada por la mediadora, toda vez que es la propia ley la que veda la reproducción de los hechos acaecidos durante la realización de dicha etapa. Con lo cual la cantidad de audiencias realizadas, las características del acta de audiencia y cualquier otra constancia que acredite una gestión llevada a cabo por el mediador (vgr., envío de cartas documentos), si bien puede tener un valor indicativo de la labor desarrollada, en ningún caso resulta determinante y autosuficiente para la ponderación global de la tarea realizada y, en consecuencia, para la consecuente determinación de la retribución por su intervención en esta instancia previa al proceso judicial strictu sensu.</w:t>
      </w:r>
    </w:p>
    <w:p>
      <w:pPr>
        <w:pStyle w:val="[Normal]"/>
        <w:spacing w:line="360" w:lineRule="auto"/>
        <w:ind w:firstLine="1134"/>
        <w:jc w:val="both"/>
        <w:rPr>
          <w:b/>
          <w:lang w:val="es-AR" w:eastAsia="es-AR" w:bidi="es-AR"/>
        </w:rPr>
      </w:pPr>
      <w:r>
        <w:rPr>
          <w:lang w:val="es-AR" w:eastAsia="es-AR" w:bidi="es-AR"/>
        </w:rPr>
        <w:t xml:space="preserve">Así las cosas, en la especie entiendo (conf. criterio vertido en causas N° 4162/20 RR-22-2022 y anteriores allí citadas) que de conformidad a la ley especial que rige en la materia y que deviene temporalmente aplicable al caso habida cuenta la fecha de realización de los trabajos respectivos -octubre de 2024; artículos 31 de la ley 13.951 y 31 del decreto 600/21-, y meritando en dicho orden el monto que resulta de la transacción arribada en el proceso ($10.000.000,00), valor jus al momento de la regulación de primera instancia</w:t>
      </w:r>
      <w:r>
        <w:rPr>
          <w:b/>
          <w:lang w:val="es-AR" w:eastAsia="es-AR" w:bidi="es-AR"/>
        </w:rPr>
        <w:t xml:space="preserve"> </w:t>
      </w:r>
      <w:r>
        <w:rPr>
          <w:lang w:val="es-AR" w:eastAsia="es-AR" w:bidi="es-AR"/>
        </w:rPr>
        <w:t xml:space="preserve">$44.774</w:t>
      </w:r>
      <w:r>
        <w:rPr>
          <w:b/>
          <w:lang w:val="es-AR" w:eastAsia="es-AR" w:bidi="es-AR"/>
        </w:rPr>
        <w:t xml:space="preserve"> </w:t>
      </w:r>
      <w:r>
        <w:rPr>
          <w:lang w:val="es-AR" w:eastAsia="es-AR" w:bidi="es-AR"/>
        </w:rPr>
        <w:t xml:space="preserve">(Ac. 4217/26 SCBA), monto del asunto equivalente a</w:t>
      </w:r>
      <w:r>
        <w:rPr>
          <w:b/>
          <w:lang w:val="es-AR" w:eastAsia="es-AR" w:bidi="es-AR"/>
        </w:rPr>
        <w:t xml:space="preserve"> </w:t>
      </w:r>
      <w:r>
        <w:rPr>
          <w:lang w:val="es-AR" w:eastAsia="es-AR" w:bidi="es-AR"/>
        </w:rPr>
        <w:t xml:space="preserve">223,34 jus, los honorarios por las tareas de mediación han sido debidamente fijados en la suma equivalente a 20,87 jus de unidad</w:t>
      </w:r>
      <w:r>
        <w:rPr>
          <w:b/>
          <w:lang w:val="es-AR" w:eastAsia="es-AR" w:bidi="es-AR"/>
        </w:rPr>
        <w:t xml:space="preserve"> </w:t>
      </w:r>
      <w:r>
        <w:rPr>
          <w:lang w:val="es-AR" w:eastAsia="es-AR" w:bidi="es-AR"/>
        </w:rPr>
        <w:t xml:space="preserve">arancelaria (art. 31 inc.</w:t>
      </w:r>
      <w:r>
        <w:rPr>
          <w:b/>
          <w:lang w:val="es-AR" w:eastAsia="es-AR" w:bidi="es-AR"/>
        </w:rPr>
        <w:t xml:space="preserve"> </w:t>
      </w:r>
      <w:r>
        <w:rPr>
          <w:lang w:val="es-AR" w:eastAsia="es-AR" w:bidi="es-AR"/>
        </w:rPr>
        <w:t xml:space="preserve">"d"</w:t>
      </w:r>
      <w:r>
        <w:rPr>
          <w:b/>
          <w:lang w:val="es-AR" w:eastAsia="es-AR" w:bidi="es-AR"/>
        </w:rPr>
        <w:t xml:space="preserve"> </w:t>
      </w:r>
      <w:r>
        <w:rPr>
          <w:lang w:val="es-AR" w:eastAsia="es-AR" w:bidi="es-AR"/>
        </w:rPr>
        <w:t xml:space="preserve">del decreto 600/21). </w:t>
      </w:r>
    </w:p>
    <w:p>
      <w:pPr>
        <w:pStyle w:val="[Normal]"/>
        <w:spacing w:line="360" w:lineRule="auto"/>
        <w:ind w:firstLine="1134"/>
        <w:jc w:val="both"/>
        <w:rPr>
          <w:b/>
          <w:color w:val="000000"/>
          <w:lang w:val="es-AR" w:eastAsia="es-AR" w:bidi="es-AR"/>
        </w:rPr>
      </w:pPr>
      <w:r>
        <w:rPr>
          <w:lang w:val="es-AR" w:eastAsia="es-AR" w:bidi="es-AR"/>
        </w:rPr>
        <w:t xml:space="preserve">Por su parte, ha de recordarse que quedan excluidos del tope del art. 730 del CCYCN los honorarios regulados al mediador</w:t>
      </w:r>
      <w:r>
        <w:rPr>
          <w:color w:val="000000"/>
          <w:lang w:val="es-AR" w:eastAsia="es-AR" w:bidi="es-AR"/>
        </w:rPr>
        <w:t xml:space="preserve">.</w:t>
      </w:r>
    </w:p>
    <w:p>
      <w:pPr>
        <w:pStyle w:val="[Normal]"/>
        <w:spacing w:line="360" w:lineRule="auto"/>
        <w:ind w:firstLine="1134"/>
        <w:jc w:val="both"/>
        <w:rPr>
          <w:b/>
          <w:lang w:val="es-AR" w:eastAsia="es-AR" w:bidi="es-AR"/>
        </w:rPr>
      </w:pPr>
      <w:r>
        <w:rPr>
          <w:lang w:val="es-AR" w:eastAsia="es-AR" w:bidi="es-AR"/>
        </w:rPr>
        <w:t xml:space="preserve">Es que el precepto normativo de referencia establece claramente que </w:t>
      </w:r>
      <w:r>
        <w:rPr>
          <w:i/>
          <w:lang w:val="es-AR" w:eastAsia="es-AR" w:bidi="es-AR"/>
        </w:rPr>
        <w:t xml:space="preserve">"...la responsabilidad por el pago de las costas, incluidos los honorarios profesionales, de todo tipo, allí devengados y correspondientes a la </w:t>
      </w:r>
      <w:r>
        <w:rPr>
          <w:i/>
          <w:u w:val="single"/>
          <w:lang w:val="es-AR" w:eastAsia="es-AR" w:bidi="es-AR"/>
        </w:rPr>
        <w:t xml:space="preserve">primera o única instancia</w:t>
      </w:r>
      <w:r>
        <w:rPr>
          <w:i/>
          <w:lang w:val="es-AR" w:eastAsia="es-AR" w:bidi="es-AR"/>
        </w:rPr>
        <w:t xml:space="preserve">, no debe exceder del veinticinco por ciento del monto de la sentencia, laudo, transacción o instrumento que ponga fin al diferendo..."</w:t>
      </w:r>
      <w:r>
        <w:rPr>
          <w:lang w:val="es-AR" w:eastAsia="es-AR" w:bidi="es-AR"/>
        </w:rPr>
        <w:t xml:space="preserve">, y la mediación es una instancia previa obligatoria, y que no está incluida en la primera o única instancia a que refiere dicho artículo </w:t>
      </w:r>
      <w:r>
        <w:rPr>
          <w:color w:val="000000"/>
          <w:lang w:val="es-AR" w:eastAsia="es-AR" w:bidi="es-AR"/>
        </w:rPr>
        <w:t xml:space="preserve">(</w:t>
      </w:r>
      <w:r>
        <w:rPr>
          <w:lang w:val="es-AR" w:eastAsia="es-AR" w:bidi="es-AR"/>
        </w:rPr>
        <w:t xml:space="preserve">cfr. CAP 4385 RSI 12-4-22 Reg. Nro. 56</w:t>
      </w:r>
      <w:r>
        <w:rPr>
          <w:color w:val="000000"/>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Resta señalar que no se establecen costas ni aranceles profesionales en ésta Instancia</w:t>
      </w:r>
      <w:r>
        <w:rPr>
          <w:color w:val="000000"/>
          <w:lang w:val="es-AR" w:eastAsia="es-AR" w:bidi="es-AR"/>
        </w:rPr>
        <w:t xml:space="preserve"> por cuanto </w:t>
      </w:r>
      <w:r>
        <w:rPr>
          <w:i/>
          <w:color w:val="000000"/>
          <w:lang w:val="es-AR" w:eastAsia="es-AR" w:bidi="es-AR"/>
        </w:rPr>
        <w:t xml:space="preserve">"El procedimiento de regulación de honorarios no constituye juicio contradictorio de índole tal que genere costas por lo que el recurso deducido en aquel y los respectivos trabajos de Alzada no devengan honorarios" </w:t>
      </w:r>
      <w:r>
        <w:rPr>
          <w:color w:val="000000"/>
          <w:lang w:val="es-AR" w:eastAsia="es-AR" w:bidi="es-AR"/>
        </w:rPr>
        <w:t xml:space="preserve">(confr. esta Cámara causas C-6245 RSI 3 del 6-2-08; Nº 1291 RSI 10 del 7/2/14, Nº </w:t>
      </w:r>
      <w:r>
        <w:rPr>
          <w:lang w:val="es-AR" w:eastAsia="es-AR" w:bidi="es-AR"/>
        </w:rPr>
        <w:t xml:space="preserve">2457 RSI 6/2016, entre otros</w:t>
      </w:r>
      <w:r>
        <w:rPr>
          <w:color w:val="000000"/>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AFIRMARTIVA.</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de conformidad al resultado habido al tratarse la cuestión precedente, estimo que el pronunciamiento que corresponde dictar es: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0"/>
        <w:jc w:val="both"/>
        <w:rPr>
          <w:lang w:val="es-AR" w:eastAsia="es-AR" w:bidi="es-AR"/>
        </w:rPr>
      </w:pPr>
      <w:r>
        <w:rPr>
          <w:lang w:val="es-AR" w:eastAsia="es-AR" w:bidi="es-AR"/>
        </w:rPr>
        <w:t xml:space="preserve">Desestimar el recurso de apelación interpuesto, y en consecuencia confirmar el decisorio puesto en crisis. </w:t>
      </w:r>
    </w:p>
    <w:p>
      <w:pPr>
        <w:pStyle w:val="[Normal]"/>
        <w:spacing w:line="360" w:lineRule="auto"/>
        <w:ind w:firstLine="1134"/>
        <w:jc w:val="both"/>
        <w:rPr>
          <w:lang w:val="es-AR" w:eastAsia="es-AR" w:bidi="es-AR"/>
        </w:rPr>
      </w:pPr>
      <w:r>
        <w:rPr>
          <w:lang w:val="es-AR" w:eastAsia="es-AR" w:bidi="es-AR"/>
        </w:rPr>
        <w:t xml:space="preserve">Sin costas</w:t>
      </w:r>
      <w:r>
        <w:rPr>
          <w:color w:val="000000"/>
          <w:lang w:val="es-AR" w:eastAsia="es-AR" w:bidi="es-AR"/>
        </w:rPr>
        <w:t xml:space="preserve"> (art. 68 2º párr. CPCC).</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0"/>
        <w:jc w:val="both"/>
        <w:rPr>
          <w:lang w:val="es-AR" w:eastAsia="es-AR" w:bidi="es-AR"/>
        </w:rPr>
      </w:pPr>
      <w:r>
        <w:rPr>
          <w:lang w:val="es-AR" w:eastAsia="es-AR" w:bidi="es-AR"/>
        </w:rPr>
        <w:t xml:space="preserve">Desestimar el recurso de apelación interpuesto, y en consecuencia confirmar el decisorio puesto en crisis. </w:t>
      </w:r>
    </w:p>
    <w:p>
      <w:pPr>
        <w:pStyle w:val="[Normal]"/>
        <w:spacing w:line="360" w:lineRule="auto"/>
        <w:ind w:firstLine="1134"/>
        <w:jc w:val="both"/>
        <w:rPr>
          <w:lang w:val="es-AR" w:eastAsia="es-AR" w:bidi="es-AR"/>
        </w:rPr>
      </w:pPr>
      <w:r>
        <w:rPr>
          <w:lang w:val="es-AR" w:eastAsia="es-AR" w:bidi="es-AR"/>
        </w:rPr>
        <w:t xml:space="preserve">Sin costas</w:t>
      </w:r>
      <w:r>
        <w:rPr>
          <w:color w:val="000000"/>
          <w:lang w:val="es-AR" w:eastAsia="es-AR" w:bidi="es-AR"/>
        </w:rPr>
        <w:t xml:space="preserve"> (art. 68 2º párr. CPCC).</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09/04/2026 10:55:11 -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09/04/2026 10:56:55 -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09/04/2026 12:35:28 - TROTTA Alfonso Bartolome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‰8!")è&amp;sgM,Š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240102090006837145</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09/04/2026 12:35:44 hs. bajo el número RS-50-2026 por TROTTA ALFONSO BARTOLOME.</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