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6009-26</w:t>
      </w:r>
      <w:r>
        <w:rPr>
          <w:lang w:val="es-AR" w:eastAsia="es-AR" w:bidi="es-AR"/>
        </w:rPr>
        <w:t xml:space="preserve"> caratulada </w:t>
      </w:r>
      <w:r>
        <w:rPr>
          <w:b/>
          <w:lang w:val="es-AR" w:eastAsia="es-AR" w:bidi="es-AR"/>
        </w:rPr>
        <w:t xml:space="preserve">"</w:t>
      </w:r>
      <w:r>
        <w:rPr>
          <w:b/>
          <w:color w:val="000000"/>
          <w:lang w:val="es-AR" w:eastAsia="es-AR" w:bidi="es-AR"/>
        </w:rPr>
        <w:t xml:space="preserve">R. S. N. S/ DETERMINACION DE LA CAPACIDAD JURIDICA</w:t>
      </w:r>
      <w:r>
        <w:rPr>
          <w:b/>
          <w:lang w:val="es-AR" w:eastAsia="es-AR" w:bidi="es-AR"/>
        </w:rPr>
        <w:t xml:space="preserve">"</w:t>
      </w:r>
      <w:r>
        <w:rPr>
          <w:lang w:val="es-AR" w:eastAsia="es-AR" w:bidi="es-AR"/>
        </w:rPr>
        <w:t xml:space="preserve">, Expte. </w:t>
      </w:r>
      <w:r>
        <w:rPr>
          <w:color w:val="000000"/>
          <w:lang w:val="es-AR" w:eastAsia="es-AR" w:bidi="es-AR"/>
        </w:rPr>
        <w:t xml:space="preserve">28.302</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l</w:t>
      </w:r>
      <w:r>
        <w:rPr>
          <w:color w:val="000000"/>
          <w:lang w:val="es-AR" w:eastAsia="es-AR" w:bidi="es-AR"/>
        </w:rPr>
        <w:t xml:space="preserve">imitó la capacidad de R. S. N., nacida el 16/11/1978 para administrar y disponer de sus bienes inmuebles y muebles registrables y que en ejercicio pleno de su capacidad jurídica deberá tomar toda decisión que comprometa su patrimonio por acto de disposición o administración con el apoyo para tales actos </w:t>
      </w:r>
      <w:r>
        <w:rPr>
          <w:lang w:val="es-AR" w:eastAsia="es-AR" w:bidi="es-AR"/>
        </w:rPr>
        <w:t xml:space="preserve">para tales actos al Sr. Curador Oficial de Alienados</w:t>
      </w:r>
      <w:r>
        <w:rPr>
          <w:color w:val="000000"/>
          <w:lang w:val="es-AR" w:eastAsia="es-AR" w:bidi="es-AR"/>
        </w:rPr>
        <w:t xml:space="preserve">. Asimismo, dispuso que el apoyo conferido se extenderá al deber de asistir a la causante en torno a las actividades de la vida diaria para las cuales lo requiera en particular para lograr materializar la asistencia a controles médicos periódicos y sostenimiento del tratamiento farmacológico -de corresponder- tanto médico como psiquiátrico, sin que la presente implique limitación para desempeñarse en la vida cotidiana, ni para desempeñarse laboralmente ni para concurrir a establecimientos educativos. Conserva sus derechos electorales en elecciones generales como así también en entidades asociativas sin fines de lucro. Requiere de asistencia para intervenir en juicio puesto que la complejidad de decisiones que debe tomar no se cubre con la asistencia letrada. Conserva sus derechos electorales en elecciones generales como así también en entidades asociativas sin fines de lucro. Dispuso como medida de apoyo la designación de </w:t>
      </w:r>
      <w:r>
        <w:rPr>
          <w:lang w:val="es-AR" w:eastAsia="es-AR" w:bidi="es-AR"/>
        </w:rPr>
        <w:t xml:space="preserve">al Sr. Curador Oficial de Alienados,  a quien se le notificará la designación. A fin de discernirle el cargo deberá éste recibir su aceptación y recabar su juramento en el sentido de que cumplirá un buen desempeño en el cuidado de la persona y administración de los bienes del causante así como que cumplirá un buen desempeño en su función de promover la autonomía y facilitar la comunicación, la comprensión y la manifestación de voluntad de SARA para el ejercicio de sus derechos, autorizándolo a percibir los haberes que en concepto de beneficio previsional le corresponda al causante, con las atribuciones que establece el art. 4º del Acuerdo 1989/81 de la SCBA.  </w:t>
      </w:r>
      <w:r>
        <w:rPr>
          <w:color w:val="000000"/>
          <w:lang w:val="es-AR" w:eastAsia="es-AR" w:bidi="es-AR"/>
        </w:rPr>
        <w:t xml:space="preserve">Quien ejerce el apoyo definitivo por los actos de disposición o administración extraordinaria del patrimonio de la causante deberá pedir autorización previa al Juzgado a fines del ejercicio de la función tuitiva de los derechos de ésta (art. 75 inc. 22 C.N.), resultando nulos todos aquellos actos que se realicen sin contar con la mencionada autorización y el apoyo del</w:t>
      </w:r>
      <w:r>
        <w:rPr>
          <w:lang w:val="es-AR" w:eastAsia="es-AR" w:bidi="es-AR"/>
        </w:rPr>
        <w:t xml:space="preserve"> Sr. Curador Oficial de Alienados. </w:t>
      </w:r>
      <w:r>
        <w:rPr>
          <w:color w:val="000000"/>
          <w:lang w:val="es-AR" w:eastAsia="es-AR" w:bidi="es-AR"/>
        </w:rPr>
        <w:t xml:space="preserve">La extensión del régimen de apoyo y salvaguarda alcanza a todos los actos en que S. R. requiera explicaciones, integrar consentimiento, convalidar su decisión y especialmente aquellos que se relacionen con las cuestiones patrimoniales. Dispuso que la presente sentencia mantendrá una vigencia de tres años a partir de su notificación, a cuyo término será revisada (art. 40 del C.C.C.) evaluándose las cláusulas de la misma y analizar si corresponde modificarlas, siempre en miras al ejercicio pleno de la capacidad jurídica de la causante, manteniéndose hasta tanto recaiga en su caso nueva resolución. A tal efecto y de conformidad con lo dispuesto por el art. 40, último párrafo del C.C.C. "... Es deber del Ministerio Público fiscalizar el cumplimiento efectivo de la revisión judicial a que refiere el párrafo primero e instar, en su caso, a que ésta se lleve a cabo si el juez no la hubiere efectuado en el plazo allí establecido".  Con costas a cargo de la causante (art. 68 CPC) a cuyo fin reguló los honorarios de la Dra. Laura Vignaroli en la cantidad de 30 jus, ello teniendo en cuenta la calidad jurídica y mérito de las labores desarrolladas, las actuaciones esenciales realizadas, el tiempo empleado en la solución del litigio y el resultado obtenido, de conformidad con lo dispuesto por el art. 9, cap. I., ap. 1. inc. n) y arts.15/16 de la ley 14.967).-</w:t>
      </w:r>
    </w:p>
    <w:p>
      <w:pPr>
        <w:pStyle w:val="[Normal]"/>
        <w:spacing w:line="360" w:lineRule="auto"/>
        <w:ind w:firstLine="1134"/>
        <w:jc w:val="both"/>
        <w:rPr>
          <w:lang w:val="es-AR" w:eastAsia="es-AR" w:bidi="es-AR"/>
        </w:rPr>
      </w:pPr>
      <w:r>
        <w:rPr>
          <w:lang w:val="es-AR" w:eastAsia="es-AR" w:bidi="es-AR"/>
        </w:rPr>
        <w:t xml:space="preserve">Tal decisorio fue objeto del recurso interpuesto el día 4-12-2025 por el Curador Oficial, concedido el 5-12-2025 en relación y con efecto devolutivo, del mismo traslado al abogado designado a la causante y a la Sra. Asesora de Menores e Incapaces. Con fecha 12-12-2025 la Sra. Asesora evacuó dicho traslado. 16-12-2025. No habiendo contestado el traslado ordenado, se le dió por perdido el derecho dejado de usar a la abogada designada a la causante.</w:t>
      </w:r>
    </w:p>
    <w:p>
      <w:pPr>
        <w:pStyle w:val="[Normal]"/>
        <w:spacing w:line="360" w:lineRule="auto"/>
        <w:ind w:firstLine="1134"/>
        <w:jc w:val="both"/>
        <w:rPr>
          <w:lang w:val="es-AR" w:eastAsia="es-AR" w:bidi="es-AR"/>
        </w:rPr>
      </w:pPr>
      <w:r>
        <w:rPr>
          <w:lang w:val="es-AR" w:eastAsia="es-AR" w:bidi="es-AR"/>
        </w:rPr>
        <w:t xml:space="preserve">Elevados los autos a esta Alzada en virtud de una apelación subsidiaria, con fecha 10-3-2026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Curador oficial de Alienados de la sentencia dictada el 27/11/2025 solicitando se designe como apoyo de la Sra. S. N. R. a su hermano don M. I. R., excluyendo de dicho rol a la Curaduría Oficial señalando distintos yerros en esa decisión: a) que la normativa que rige (art. 108 ley 14.442) establece dos extremos para su intervención: a. el caso del art. 622 del CPCC cuando el presunto insano careciere de bienes o éstos sólo alcancen para la subsistencia y b) cuando un insano carezca de familiares o éstos se hubiesen excusado con causa suficiente o no existan personas habilitadas para su representación.</w:t>
      </w:r>
    </w:p>
    <w:p>
      <w:pPr>
        <w:pStyle w:val="[Normal]"/>
        <w:spacing w:line="360" w:lineRule="auto"/>
        <w:ind w:firstLine="1134"/>
        <w:jc w:val="both"/>
        <w:rPr>
          <w:lang w:val="es-AR" w:eastAsia="es-AR" w:bidi="es-AR"/>
        </w:rPr>
      </w:pPr>
      <w:r>
        <w:rPr>
          <w:lang w:val="es-AR" w:eastAsia="es-AR" w:bidi="es-AR"/>
        </w:rPr>
        <w:t xml:space="preserve">Procesalmente he de remarcar que se dedujo erróneamente recurso de revocatoria contra una sentencia, contrariamente a lo dispuesto por el art. 238 del CPCC y su doctrina por parte del Curador, lo que fue reencausado por el Juez de Primera Instancia concediendo en forma subsidiaria la apelación, hoy en revisión de esta Alzada.-</w:t>
      </w:r>
    </w:p>
    <w:p>
      <w:pPr>
        <w:pStyle w:val="[Normal]"/>
        <w:spacing w:line="360" w:lineRule="auto"/>
        <w:ind w:firstLine="1134"/>
        <w:jc w:val="both"/>
        <w:rPr>
          <w:lang w:val="es-AR" w:eastAsia="es-AR" w:bidi="es-AR"/>
        </w:rPr>
      </w:pPr>
      <w:r>
        <w:rPr>
          <w:lang w:val="es-AR" w:eastAsia="es-AR" w:bidi="es-AR"/>
        </w:rPr>
        <w:t xml:space="preserve">Pide ser excluido de la función de apoyo, consigna la existencia del hermano de la Sra. R. que obra en el informe interdisciplinario obrante, dice que  suele visitarla en el hogar y retirarla por breve tiempo para salidas diurnas.-</w:t>
      </w:r>
    </w:p>
    <w:p>
      <w:pPr>
        <w:pStyle w:val="[Normal]"/>
        <w:spacing w:line="360" w:lineRule="auto"/>
        <w:ind w:firstLine="1134"/>
        <w:jc w:val="both"/>
        <w:rPr>
          <w:lang w:val="es-AR" w:eastAsia="es-AR" w:bidi="es-AR"/>
        </w:rPr>
      </w:pPr>
      <w:r>
        <w:rPr>
          <w:lang w:val="es-AR" w:eastAsia="es-AR" w:bidi="es-AR"/>
        </w:rPr>
        <w:t xml:space="preserve">Expresa que ese rol lo viene ejerciendo desde el año 2021 desprendiéndose del informe de fecha 27/11/2021.-</w:t>
      </w:r>
    </w:p>
    <w:p>
      <w:pPr>
        <w:pStyle w:val="[Normal]"/>
        <w:spacing w:line="360" w:lineRule="auto"/>
        <w:ind w:firstLine="1134"/>
        <w:jc w:val="both"/>
        <w:rPr>
          <w:lang w:val="es-AR" w:eastAsia="es-AR" w:bidi="es-AR"/>
        </w:rPr>
      </w:pPr>
      <w:r>
        <w:rPr>
          <w:lang w:val="es-AR" w:eastAsia="es-AR" w:bidi="es-AR"/>
        </w:rPr>
        <w:t xml:space="preserve">Indica que nunca se entrevistó al Sr. R. para conocimiento y evaluación del cargo y que se vislumbra en un escrito presentado por la propia Defensora Oficial Dra. Laura Vignaroli de fecha 14/10/2021 que "habría manifestado su intención en las medidas de sus posibilidades".-</w:t>
      </w:r>
    </w:p>
    <w:p>
      <w:pPr>
        <w:pStyle w:val="[Normal]"/>
        <w:spacing w:line="360" w:lineRule="auto"/>
        <w:ind w:firstLine="1134"/>
        <w:jc w:val="both"/>
        <w:rPr>
          <w:lang w:val="es-AR" w:eastAsia="es-AR" w:bidi="es-AR"/>
        </w:rPr>
      </w:pPr>
      <w:r>
        <w:rPr>
          <w:lang w:val="es-AR" w:eastAsia="es-AR" w:bidi="es-AR"/>
        </w:rPr>
        <w:t xml:space="preserve">Solicita que  previo a la designación de la Curaduría como figura de apoyo deben evacuarse las vías alternativas toda vez que como lo prevé la norma existen familiares habilitados para ejercer el rol.-</w:t>
      </w:r>
    </w:p>
    <w:p>
      <w:pPr>
        <w:pStyle w:val="[Normal]"/>
        <w:spacing w:line="360" w:lineRule="auto"/>
        <w:ind w:firstLine="1134"/>
        <w:jc w:val="both"/>
        <w:rPr>
          <w:lang w:val="es-AR" w:eastAsia="es-AR" w:bidi="es-AR"/>
        </w:rPr>
      </w:pPr>
      <w:r>
        <w:rPr>
          <w:lang w:val="es-AR" w:eastAsia="es-AR" w:bidi="es-AR"/>
        </w:rPr>
        <w:t xml:space="preserve">Para sostener su posición indica que en la audiencia de fecha 30/05/2025 preguntada S. R. sobre el apoyo de su hermano se manifestó favorablemente.</w:t>
      </w:r>
    </w:p>
    <w:p>
      <w:pPr>
        <w:pStyle w:val="[Normal]"/>
        <w:spacing w:line="360" w:lineRule="auto"/>
        <w:ind w:firstLine="1134"/>
        <w:jc w:val="both"/>
        <w:rPr>
          <w:lang w:val="es-AR" w:eastAsia="es-AR" w:bidi="es-AR"/>
        </w:rPr>
      </w:pPr>
      <w:r>
        <w:rPr>
          <w:lang w:val="es-AR" w:eastAsia="es-AR" w:bidi="es-AR"/>
        </w:rPr>
        <w:t xml:space="preserve">En el dictamen que luce de la Sra. Asesora de Incapaces de fecha 12/12/2025 la misma se expide señalando que se contactó con personal del Hogar de Lourdes a fin de interiorizarse de la dinámica de la titular dentro de la institución así como de su hermano y mantuvo contacto con video llamada orientada a conocer la interacción de la nombrada con su hermano así como la voluntad en relación a la designación del sistema de apoyo.-</w:t>
      </w:r>
    </w:p>
    <w:p>
      <w:pPr>
        <w:pStyle w:val="[Normal]"/>
        <w:spacing w:line="360" w:lineRule="auto"/>
        <w:ind w:firstLine="1134"/>
        <w:jc w:val="both"/>
        <w:rPr>
          <w:lang w:val="es-AR" w:eastAsia="es-AR" w:bidi="es-AR"/>
        </w:rPr>
      </w:pPr>
      <w:r>
        <w:rPr>
          <w:lang w:val="es-AR" w:eastAsia="es-AR" w:bidi="es-AR"/>
        </w:rPr>
        <w:t xml:space="preserve">Manifestó aquella que se lleva bien con su hermano y efectúa salidas junto a él a su domicilio</w:t>
      </w:r>
      <w:r>
        <w:rPr>
          <w:b/>
          <w:lang w:val="es-AR" w:eastAsia="es-AR" w:bidi="es-AR"/>
        </w:rPr>
        <w:t xml:space="preserve"> </w:t>
      </w:r>
      <w:r>
        <w:rPr>
          <w:lang w:val="es-AR" w:eastAsia="es-AR" w:bidi="es-AR"/>
        </w:rPr>
        <w:t xml:space="preserve">pero que no se encuentra en condiciones de desempeñar el cargo referido, duda de que "haya dejado la bebida" y en forma clara expresa su deseo de que el Curador sea designado como su sistema de apoyo, pese a que no lo conoce personalmente aún.-</w:t>
      </w:r>
    </w:p>
    <w:p>
      <w:pPr>
        <w:pStyle w:val="[Normal]"/>
        <w:spacing w:line="360" w:lineRule="auto"/>
        <w:ind w:firstLine="1134"/>
        <w:jc w:val="both"/>
        <w:rPr>
          <w:lang w:val="es-AR" w:eastAsia="es-AR" w:bidi="es-AR"/>
        </w:rPr>
      </w:pPr>
      <w:r>
        <w:rPr>
          <w:lang w:val="es-AR" w:eastAsia="es-AR" w:bidi="es-AR"/>
        </w:rPr>
        <w:t xml:space="preserve">Dice que tal como define el nuevo modelo es justamente la voluntad decisoria del sujeto conforme el Comité sobre los Derechos de las Personas con Discapacidad en su Observación General Nro. 1 que el sistema de apoyo debe basarse en un vínculo de confianza pues si es impuesto judicialmente y el encargado de efectuarlo no es elegido por la persona en base a dicho vínculo se desnaturaliza esa figura. Emite su dictamen señalando que debe mantenerse el sistema de apoyo dado en la sentencia dictada el 27/11/2025.-</w:t>
      </w:r>
    </w:p>
    <w:p>
      <w:pPr>
        <w:pStyle w:val="[Normal]"/>
        <w:spacing w:line="360" w:lineRule="auto"/>
        <w:ind w:firstLine="1134"/>
        <w:jc w:val="both"/>
        <w:rPr>
          <w:lang w:val="es-AR" w:eastAsia="es-AR" w:bidi="es-AR"/>
        </w:rPr>
      </w:pPr>
      <w:r>
        <w:rPr>
          <w:lang w:val="es-AR" w:eastAsia="es-AR" w:bidi="es-AR"/>
        </w:rPr>
        <w:t xml:space="preserve">Entrando a resolver he de tener muy en cuenta lo apuntado por la Asesora de Incapaces en su dictamen cuando recoge la negativa de la causante en que sea su hermano, dando las razones para ello y que tan certeramente extrae la funcionaria.</w:t>
      </w:r>
    </w:p>
    <w:p>
      <w:pPr>
        <w:pStyle w:val="[Normal]"/>
        <w:spacing w:line="360" w:lineRule="auto"/>
        <w:ind w:firstLine="1134"/>
        <w:jc w:val="both"/>
        <w:rPr>
          <w:lang w:val="es-AR" w:eastAsia="es-AR" w:bidi="es-AR"/>
        </w:rPr>
      </w:pPr>
      <w:r>
        <w:rPr>
          <w:lang w:val="es-AR" w:eastAsia="es-AR" w:bidi="es-AR"/>
        </w:rPr>
        <w:t xml:space="preserve">El CCyC introdujo el régimen de apoyos en la sección sobre la capacidad civil de las personas, para armonizar la normativa nacional con el artículo 12 de la Convención Sobre los Derechos de las Personas con Discapacidad de Naciones Unidas (CDPD), de jerarquía constitucional. 	</w:t>
      </w:r>
    </w:p>
    <w:p>
      <w:pPr>
        <w:pStyle w:val="[Normal]"/>
        <w:spacing w:line="360" w:lineRule="auto"/>
        <w:ind w:firstLine="1134"/>
        <w:jc w:val="both"/>
        <w:rPr>
          <w:lang w:val="es-AR" w:eastAsia="es-AR" w:bidi="es-AR"/>
        </w:rPr>
      </w:pPr>
      <w:r>
        <w:rPr>
          <w:lang w:val="es-AR" w:eastAsia="es-AR" w:bidi="es-AR"/>
        </w:rPr>
        <w:t xml:space="preserve">De esa forma, se modificó el “sistema de sustitución de la voluntad” (también llamado “de representación o curatela”) previsto en el código civil derogado, para dar lugar al modelo de “apoyo en la toma de decisiones”.	</w:t>
      </w:r>
    </w:p>
    <w:p>
      <w:pPr>
        <w:pStyle w:val="[Normal]"/>
        <w:spacing w:line="360" w:lineRule="auto"/>
        <w:ind w:firstLine="1134"/>
        <w:jc w:val="both"/>
        <w:rPr>
          <w:lang w:val="es-AR" w:eastAsia="es-AR" w:bidi="es-AR"/>
        </w:rPr>
      </w:pPr>
      <w:r>
        <w:rPr>
          <w:lang w:val="es-AR" w:eastAsia="es-AR" w:bidi="es-AR"/>
        </w:rPr>
        <w:t xml:space="preserve">En los fundamentos del CCyC se señala la noción de incapacidad de ejercicio queda limitada para los casos extremadamente excepcionales, configurados por aquellos supuestos en los que la persona se encuentra en situación de absoluta falta de habilidad para dirigir su persona y administrar sus bienes (estado de coma permanente, padecimientos mentales profundos que impiden tomar decisión alguna, etc), pues el código contiene una mirada a partir de la impronta convencional que además de ser tuitiva, es integradora, garantista, flexible y tutelar del derecho a la dignidad de la persona. 	</w:t>
      </w:r>
    </w:p>
    <w:p>
      <w:pPr>
        <w:pStyle w:val="[Normal]"/>
        <w:spacing w:line="360" w:lineRule="auto"/>
        <w:ind w:firstLine="1134"/>
        <w:jc w:val="both"/>
        <w:rPr>
          <w:lang w:val="es-AR" w:eastAsia="es-AR" w:bidi="es-AR"/>
        </w:rPr>
      </w:pPr>
      <w:r>
        <w:rPr>
          <w:lang w:val="es-AR" w:eastAsia="es-AR" w:bidi="es-AR"/>
        </w:rPr>
        <w:t xml:space="preserve">Esta orientación se nutre de su art. 31 del CCYC, que establece las reglas generales de la materia, al disponer que la capacidad de ejercicio de una persona humana se presume aun cuando se encuentre en un centro asistencial. Se trata de una fórmula de igualdad y no discriminación por motivo de la discapacidad y se la refuerza en las circunstancias de mayor vulnerabilidad respecto del ejercicio de sus derechos, como es la situación de la internación por razones psíquicas (Cf. Cobas, Manuel en "Código Civil Comercial de la Nación Comentado" Dir. Lorenzetti, TºI, p.128). </w:t>
      </w:r>
    </w:p>
    <w:p>
      <w:pPr>
        <w:pStyle w:val="[Normal]"/>
        <w:spacing w:line="360" w:lineRule="auto"/>
        <w:ind w:firstLine="1134"/>
        <w:jc w:val="both"/>
        <w:rPr>
          <w:lang w:val="es-AR" w:eastAsia="es-AR" w:bidi="es-AR"/>
        </w:rPr>
      </w:pPr>
      <w:r>
        <w:rPr>
          <w:lang w:val="es-AR" w:eastAsia="es-AR" w:bidi="es-AR"/>
        </w:rPr>
        <w:t xml:space="preserve">Como consecuencia lógica de los postulados anteriores, podemos afirmar que la capacidad de ejercicio es la regla y cualquier limitación debe ser entendida como excepcional, siempre con un fin protectorio y fundada exclusivamente en razón de la vulnerabilidad de la persona. Es el principio de mayor trascendencia y opera una piedra angular del CCyC, aunque ya estaba establecido por la ley 26.657 de Salud Mental. 	</w:t>
      </w:r>
    </w:p>
    <w:p>
      <w:pPr>
        <w:pStyle w:val="[Normal]"/>
        <w:spacing w:line="360" w:lineRule="auto"/>
        <w:ind w:firstLine="1134"/>
        <w:jc w:val="both"/>
        <w:rPr>
          <w:lang w:val="es-AR" w:eastAsia="es-AR" w:bidi="es-AR"/>
        </w:rPr>
      </w:pPr>
      <w:r>
        <w:rPr>
          <w:lang w:val="es-AR" w:eastAsia="es-AR" w:bidi="es-AR"/>
        </w:rPr>
        <w:t xml:space="preserve">En esta línea la Sala II de la Cámara de Apelaciones Civil y Comercial de Mar del Plata ha dicho que: "...el CCyC prevé la representación como forma de sustitución de la voluntad pero en forma excepcional y, a la par, establece un sistema amplio y general de asistencia, que debe ser adaptado con los apoyos que para caso determine el juez, especificando las funciones de cada con los ajustes razonables en función de las necesidades y circunstancias de la persona. Debe ´diseñarse un traje a medida, pues la solución legal no es rígida, sino flexible" (Cámara de Apelación en lo Civil y Comercial de Mar del Plata, Sala Segunda, en acuerdo ordinario a los efectos de dictar sentencia en los autos caratulados "D.M.R. S/DETERMINACIÓN DE LA CAPACIDAD JURÍDICA", 26/5/2022). </w:t>
      </w:r>
    </w:p>
    <w:p>
      <w:pPr>
        <w:pStyle w:val="[Normal]"/>
        <w:spacing w:line="360" w:lineRule="auto"/>
        <w:ind w:firstLine="1134"/>
        <w:jc w:val="both"/>
        <w:rPr>
          <w:lang w:val="es-AR" w:eastAsia="es-AR" w:bidi="es-AR"/>
        </w:rPr>
      </w:pPr>
      <w:r>
        <w:rPr>
          <w:lang w:val="es-AR" w:eastAsia="es-AR" w:bidi="es-AR"/>
        </w:rPr>
        <w:t xml:space="preserve">Ello así, por cuanto nuestro Máximo Tribunal Provincial ha señalado que “el respeto del modelo social implica que no debe privarse a la persona de su posibilidad de elegir y actuar. La aplicación del sistema creado por la Convención de la ONU para Personas con Discapacidad debe guiarse por el principio de la `dignidad del riesgo´, es decir, el derecho a transitar y vivir en el mundo, con todos sus peligros y la posibilidad de equivocarse” (SCJBA, “E., E. R.. Insanía y curatela”, C.116.954, Sent. Del 08/07/2014). Esta dignidad del riesgo, salvo prueba fehaciente que torne manifiestamente inconveniente la elección adoptada por la causante, no sólo debe extenderse a las decisiones que ésta pueda tomar en su vida civil, sino además debe gravitar también en su preferencia respecto a la modalidad de apoyo instituida como de la persona designada para el cumplimiento de esta función.</w:t>
      </w:r>
    </w:p>
    <w:p>
      <w:pPr>
        <w:pStyle w:val="[Normal]"/>
        <w:spacing w:line="360" w:lineRule="auto"/>
        <w:ind w:firstLine="1134"/>
        <w:jc w:val="both"/>
        <w:rPr>
          <w:lang w:val="es-AR" w:eastAsia="es-AR" w:bidi="es-AR"/>
        </w:rPr>
      </w:pPr>
      <w:r>
        <w:rPr>
          <w:lang w:val="es-AR" w:eastAsia="es-AR" w:bidi="es-AR"/>
        </w:rPr>
        <w:t xml:space="preserve">En consonancia con esta idea, e hilando aún más fino, es menester señalar que el sistema de la Convención sobre los Derechos de las Personas con Discapacidad -su análogo de la Convención Interamericana sobre la Protección de los Derechos Humanos de las Personas Mayores- y el CCyCN permiten gradaciones en la intervención. Así “un primer nivel es aquel en el que la persona requiere de apoyos mínimos para la toma de sus decisiones, como podrían serlo los relacionados con el lenguaje o con aspectos tecnológicos que puedan facilitar la comunicación. Un segundo nivel consiste en la toma de decisiones asistidas, en donde la persona con discapacidad recibe la asistencia para la toma de decisiones de un tercero de su confianza, elegido por la propia persona con discapacidad. Un tercer nivel es la toma de decisiones facilitada, para los casos extremos en que las preferencias y la voluntad no puedan expresarse o conocerse de manera fehaciente, y que debe constituirse en la situación de última instancia.” (conf. Silvia E. Fernández en “Código Civil y Comercial de la Nación Comentado” SAIJ - INFOJUS Edición actualizada 2022, Herrera - Caramelo Directores; pp. 113 y ss.). Y toda vez que estamos aquí frente a la segunda modalidad señalada, corresponde asignar mayor prevalencia a la autodeterminación expresada por la causante a la hora de establecer el sistema de apoyo en cuestión.</w:t>
      </w:r>
    </w:p>
    <w:p>
      <w:pPr>
        <w:pStyle w:val="[Normal]"/>
        <w:spacing w:line="360" w:lineRule="auto"/>
        <w:ind w:firstLine="1134"/>
        <w:jc w:val="both"/>
        <w:rPr>
          <w:lang w:val="es-AR" w:eastAsia="es-AR" w:bidi="es-AR"/>
        </w:rPr>
      </w:pPr>
      <w:r>
        <w:rPr>
          <w:lang w:val="es-AR" w:eastAsia="es-AR" w:bidi="es-AR"/>
        </w:rPr>
        <w:t xml:space="preserve">En esta autodeterminación la representante pupilar recoge los dichos de la causante quien se manifiesta en contra de la idea que sea su hermano por el tema que alude de que "no cree que su hermano haya dejado la bebida". Y dice que prefiere que sea el Curador "aunque nunca lo ha visto".-</w:t>
      </w:r>
    </w:p>
    <w:p>
      <w:pPr>
        <w:pStyle w:val="[Normal]"/>
        <w:spacing w:line="360" w:lineRule="auto"/>
        <w:ind w:firstLine="1134"/>
        <w:jc w:val="both"/>
        <w:rPr>
          <w:lang w:val="es-AR" w:eastAsia="es-AR" w:bidi="es-AR"/>
        </w:rPr>
      </w:pPr>
      <w:r>
        <w:rPr>
          <w:lang w:val="es-AR" w:eastAsia="es-AR" w:bidi="es-AR"/>
        </w:rPr>
        <w:t xml:space="preserve">El art. 43 del CCyC establece que toda persona tiene derecho a recibir apoyos para el ejercicio de su capacidad jurídica y a participar en su elección -sea uno o varias personas de su confianza-, debiendo el sistema respetar su voluntad, preferencias y autonomía. Asimismo, la Observación General Nro. 1 del Comité sobre los Derechos de las Personas con Discapacidad (CDPD) enfatiza que el apoyo debe priorizar la voluntad y preferencias de la persona, evitando modelos sustitutorios y promoviendo soluciones ajustadas a su realidad.</w:t>
      </w:r>
    </w:p>
    <w:p>
      <w:pPr>
        <w:pStyle w:val="[Normal]"/>
        <w:spacing w:line="360" w:lineRule="auto"/>
        <w:ind w:firstLine="1134"/>
        <w:jc w:val="both"/>
        <w:rPr>
          <w:lang w:val="es-AR" w:eastAsia="es-AR" w:bidi="es-AR"/>
        </w:rPr>
      </w:pPr>
      <w:r>
        <w:rPr>
          <w:lang w:val="es-AR" w:eastAsia="es-AR" w:bidi="es-AR"/>
        </w:rPr>
        <w:t xml:space="preserve">En este escenario, la intervención de la Curaduría Oficial es de vital importancia, en tanto no se pudo discernir aquí y ahora si el hermano está en condiciones de ejercer los actos protectorios de la causante, y actuar como apoyo complementario en su caso .-</w:t>
      </w:r>
    </w:p>
    <w:p>
      <w:pPr>
        <w:pStyle w:val="[Normal]"/>
        <w:spacing w:line="360" w:lineRule="auto"/>
        <w:ind w:firstLine="1134"/>
        <w:jc w:val="both"/>
        <w:rPr>
          <w:lang w:val="es-AR" w:eastAsia="es-AR" w:bidi="es-AR"/>
        </w:rPr>
      </w:pPr>
      <w:r>
        <w:rPr>
          <w:lang w:val="es-AR" w:eastAsia="es-AR" w:bidi="es-AR"/>
        </w:rPr>
        <w:t xml:space="preserve">Por ello entiendo que el pedido de exclusión de su intervención traído por el Curador de Alienados no puede prosperar.-</w:t>
      </w:r>
    </w:p>
    <w:p>
      <w:pPr>
        <w:pStyle w:val="[Normal]"/>
        <w:spacing w:line="360" w:lineRule="auto"/>
        <w:ind w:firstLine="1134"/>
        <w:jc w:val="both"/>
        <w:rPr>
          <w:lang w:val="es-AR" w:eastAsia="es-AR" w:bidi="es-AR"/>
        </w:rPr>
      </w:pPr>
      <w:r>
        <w:rPr>
          <w:lang w:val="es-AR" w:eastAsia="es-AR" w:bidi="es-AR"/>
        </w:rPr>
        <w:t xml:space="preserve">Por el contrario, la medida adoptada por el juzgado armoniza los estándares de la CDPD con la tutela judicial efectiva prevista en los arts. 138 y 139 del CCyC, privilegiando el soporte institucional del organismo especializado, garantizando control de gestión, apoyo administrativo y contención profesional durante el proceso de adaptación.</w:t>
      </w:r>
    </w:p>
    <w:p>
      <w:pPr>
        <w:pStyle w:val="[Normal]"/>
        <w:spacing w:line="360" w:lineRule="auto"/>
        <w:ind w:firstLine="1134"/>
        <w:jc w:val="both"/>
        <w:rPr>
          <w:lang w:val="es-AR" w:eastAsia="es-AR" w:bidi="es-AR"/>
        </w:rPr>
      </w:pPr>
      <w:r>
        <w:rPr>
          <w:lang w:val="es-AR" w:eastAsia="es-AR" w:bidi="es-AR"/>
        </w:rPr>
        <w:t xml:space="preserve">Así, la decisión recurrida resulta razonable, proporcionada y ajustada a derecho.-</w:t>
      </w:r>
    </w:p>
    <w:p>
      <w:pPr>
        <w:pStyle w:val="[Normal]"/>
        <w:spacing w:line="360" w:lineRule="auto"/>
        <w:ind w:firstLine="1134"/>
        <w:jc w:val="both"/>
        <w:rPr>
          <w:lang w:val="es-AR" w:eastAsia="es-AR" w:bidi="es-AR"/>
        </w:rPr>
      </w:pPr>
      <w:r>
        <w:rPr>
          <w:lang w:val="es-AR" w:eastAsia="es-AR" w:bidi="es-AR"/>
        </w:rPr>
        <w:t xml:space="preserve">En su caso, y previa audiencia con todos los operadores podrá decidirse en forma oportuna un sistema combinado donde se implemente el apoyo conjunto del Curador con la figura del hermano si estuviera en condiciones, lo que estará sujeto a decisión del juez de la causa y luego de los informes que habrán de procurarse para llegar a ese punto.-</w:t>
      </w:r>
    </w:p>
    <w:p>
      <w:pPr>
        <w:pStyle w:val="[Normal]"/>
        <w:spacing w:line="360" w:lineRule="auto"/>
        <w:ind w:firstLine="1134"/>
        <w:jc w:val="both"/>
        <w:rPr>
          <w:lang w:val="es-AR" w:eastAsia="es-AR" w:bidi="es-AR"/>
        </w:rPr>
      </w:pPr>
      <w:r>
        <w:rPr>
          <w:lang w:val="es-AR" w:eastAsia="es-AR" w:bidi="es-AR"/>
        </w:rPr>
        <w:t xml:space="preserve">Mientras tanto la figura del Curador resulta de vital importancia, no pudiendo ser excluido como pretende.-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Sin costas.-</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Sin costas.-</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