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5584-25</w:t>
      </w:r>
      <w:r>
        <w:rPr>
          <w:lang w:val="es-AR" w:eastAsia="es-AR" w:bidi="es-AR"/>
        </w:rPr>
        <w:t xml:space="preserve"> caratulada </w:t>
      </w:r>
      <w:r>
        <w:rPr>
          <w:b/>
          <w:lang w:val="es-AR" w:eastAsia="es-AR" w:bidi="es-AR"/>
        </w:rPr>
        <w:t xml:space="preserve">"</w:t>
      </w:r>
      <w:r>
        <w:rPr>
          <w:b/>
          <w:color w:val="000000"/>
          <w:lang w:val="es-AR" w:eastAsia="es-AR" w:bidi="es-AR"/>
        </w:rPr>
        <w:t xml:space="preserve">ASENSIO JOSEFA VIOLANTE S/ SUCESION AB-INTESTATO</w:t>
      </w:r>
      <w:r>
        <w:rPr>
          <w:b/>
          <w:lang w:val="es-AR" w:eastAsia="es-AR" w:bidi="es-AR"/>
        </w:rPr>
        <w:t xml:space="preserve">"</w:t>
      </w:r>
      <w:r>
        <w:rPr>
          <w:lang w:val="es-AR" w:eastAsia="es-AR" w:bidi="es-AR"/>
        </w:rPr>
        <w:t xml:space="preserve">, Expte. N° 66127</w:t>
      </w:r>
      <w:r>
        <w:rPr>
          <w:color w:val="000000"/>
          <w:lang w:val="es-AR" w:eastAsia="es-AR" w:bidi="es-AR"/>
        </w:rPr>
        <w:t xml:space="preserve"> </w:t>
      </w:r>
      <w:r>
        <w:rPr>
          <w:lang w:val="es-AR" w:eastAsia="es-AR" w:bidi="es-AR"/>
        </w:rPr>
        <w:t xml:space="preserve">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I. El señor Juez de primera instancia mediante la resolución de fecha 29/10/25: 1) aprobó las declaraciones juradas de los días 15/8/25 y 2/9/25, desestimando las oposiciones formuladas por la coheredera Maria Antonia Balich en fechas 11/12/24, 20/12/24 1/9/25 y 17/9/25, con costas a cargo de la nombrada por resultar vencida; 2) determinó la base regulatoria del presente sucesorio en la suma de $422.013.500; y 3) reguló los honorarios correspondientes a las personas profesionales intervinientes en el proceso.</w:t>
      </w:r>
    </w:p>
    <w:p>
      <w:pPr>
        <w:pStyle w:val="[Normal]"/>
        <w:spacing w:line="360" w:lineRule="auto"/>
        <w:ind w:firstLine="1134"/>
        <w:jc w:val="both"/>
        <w:rPr>
          <w:lang w:val="es-AR" w:eastAsia="es-AR" w:bidi="es-AR"/>
        </w:rPr>
      </w:pPr>
      <w:r>
        <w:rPr>
          <w:lang w:val="es-AR" w:eastAsia="es-AR" w:bidi="es-AR"/>
        </w:rPr>
        <w:t xml:space="preserve">Contra tal decisorio dedujo recurso de apelación el Dr. Leonardo Fej representante de la heredera Sra. María Antonia Balich el día 7/11/25, recurso concedido en relación el 13/11/25, y contestado por la contraparte el 14/11/25.</w:t>
      </w:r>
    </w:p>
    <w:p>
      <w:pPr>
        <w:pStyle w:val="[Normal]"/>
        <w:spacing w:line="360" w:lineRule="auto"/>
        <w:ind w:firstLine="1134"/>
        <w:jc w:val="both"/>
        <w:rPr>
          <w:lang w:val="es-AR" w:eastAsia="es-AR" w:bidi="es-AR"/>
        </w:rPr>
      </w:pPr>
      <w:r>
        <w:rPr>
          <w:lang w:val="es-AR" w:eastAsia="es-AR" w:bidi="es-AR"/>
        </w:rPr>
        <w:t xml:space="preserve">Ingresados los autos a esta Alzada se dictó el llamamiento de autos el 4/12/25, providencia que estando firme a la fecha deja la causa en condiciones de ser fallada. </w:t>
      </w:r>
    </w:p>
    <w:p>
      <w:pPr>
        <w:pStyle w:val="[Normal]"/>
        <w:spacing w:line="360" w:lineRule="auto"/>
        <w:ind w:firstLine="1134"/>
        <w:jc w:val="both"/>
        <w:rPr>
          <w:lang w:val="es-AR" w:eastAsia="es-AR" w:bidi="es-AR"/>
        </w:rPr>
      </w:pPr>
      <w:r>
        <w:rPr>
          <w:b/>
          <w:lang w:val="es-AR" w:eastAsia="es-AR" w:bidi="es-AR"/>
        </w:rPr>
        <w:t xml:space="preserve">II. AGRAVIOS COHEREDERA MARIA ANTONIA BALICH:</w:t>
      </w:r>
    </w:p>
    <w:p>
      <w:pPr>
        <w:pStyle w:val="[Normal]"/>
        <w:spacing w:line="360" w:lineRule="auto"/>
        <w:ind w:firstLine="1134"/>
        <w:jc w:val="both"/>
        <w:rPr>
          <w:lang w:val="es-AR" w:eastAsia="es-AR" w:bidi="es-AR"/>
        </w:rPr>
      </w:pPr>
      <w:r>
        <w:rPr>
          <w:lang w:val="es-AR" w:eastAsia="es-AR" w:bidi="es-AR"/>
        </w:rPr>
        <w:t xml:space="preserve">Cuestiona la resolución de fecha 29/10/25 en cuanto fija la base regulatoria en la suma de $422.013.500 con sustento en la pericia inmobiliaria producida en autos, desestimando la impugnación oportunamente formulada por su parte.</w:t>
      </w:r>
    </w:p>
    <w:p>
      <w:pPr>
        <w:pStyle w:val="[Normal]"/>
        <w:spacing w:line="360" w:lineRule="auto"/>
        <w:ind w:firstLine="1134"/>
        <w:jc w:val="both"/>
        <w:rPr>
          <w:lang w:val="es-AR" w:eastAsia="es-AR" w:bidi="es-AR"/>
        </w:rPr>
      </w:pPr>
      <w:r>
        <w:rPr>
          <w:lang w:val="es-AR" w:eastAsia="es-AR" w:bidi="es-AR"/>
        </w:rPr>
        <w:t xml:space="preserve">Sostiene en lo sustancial, que el dictamen pericial elaborado por el martillero interviniente carece de validez técnica, por adolecer -según afirma- de graves defectos metodológicos que lo tornan inválido como medio probatorio idóneo. En particular, señala que la tasación no se encuentra fundada en parámetros objetivos suficientes, denunciando la omisión de considerar circunstancias relevantes -como la existencia de condominio sobre uno de los inmuebles- y la falta de acompañamiento de antecedentes comparativos de mercado (ventas de inmuebles análogos en la zona).</w:t>
      </w:r>
    </w:p>
    <w:p>
      <w:pPr>
        <w:pStyle w:val="[Normal]"/>
        <w:spacing w:line="360" w:lineRule="auto"/>
        <w:ind w:firstLine="1134"/>
        <w:jc w:val="both"/>
        <w:rPr>
          <w:lang w:val="es-AR" w:eastAsia="es-AR" w:bidi="es-AR"/>
        </w:rPr>
      </w:pPr>
      <w:r>
        <w:rPr>
          <w:lang w:val="es-AR" w:eastAsia="es-AR" w:bidi="es-AR"/>
        </w:rPr>
        <w:t xml:space="preserve">Asimismo, cuestiona el valor asignado por el experto a las hectáreas objeto de autos, por reputarlo manifiestamente superior a los precios que -según afirma- surgen de operaciones de compraventa instrumentadas en escrituras públicas en la zona de Pergamino (cuartel El Socorro), proponiendo como parámetro de referencia los valores allí consignados. En tal sentido, destaca que solicitó oportunamente la producción de prueba informativa al Colegio de Escribanos de la Provincia de Buenos Aires a fin de acreditar dichos extremos, medida que -según se desprende de sus dichos- no fue considerada.</w:t>
      </w:r>
    </w:p>
    <w:p>
      <w:pPr>
        <w:pStyle w:val="[Normal]"/>
        <w:spacing w:line="360" w:lineRule="auto"/>
        <w:ind w:firstLine="1134"/>
        <w:jc w:val="both"/>
        <w:rPr>
          <w:lang w:val="es-AR" w:eastAsia="es-AR" w:bidi="es-AR"/>
        </w:rPr>
      </w:pPr>
      <w:r>
        <w:rPr>
          <w:lang w:val="es-AR" w:eastAsia="es-AR" w:bidi="es-AR"/>
        </w:rPr>
        <w:t xml:space="preserve">Refiere también que al evacuar el traslado de la impugnación, el perito sostuvo que los valores de escrituración no reflejan el verdadero precio de mercado de los inmuebles, lo que -a su criterio- descalifica de modo absoluto el dictamen, en tanto importa desconocer el valor jurídico de las escrituras públicas y admitir implícitamente prácticas irregulares en la determinación de precios en las operaciones inmobiliarias.</w:t>
      </w:r>
    </w:p>
    <w:p>
      <w:pPr>
        <w:pStyle w:val="[Normal]"/>
        <w:spacing w:line="360" w:lineRule="auto"/>
        <w:ind w:firstLine="1134"/>
        <w:jc w:val="both"/>
        <w:rPr>
          <w:lang w:val="es-AR" w:eastAsia="es-AR" w:bidi="es-AR"/>
        </w:rPr>
      </w:pPr>
      <w:r>
        <w:rPr>
          <w:lang w:val="es-AR" w:eastAsia="es-AR" w:bidi="es-AR"/>
        </w:rPr>
        <w:t xml:space="preserve">En esa línea, la recurrente afirma que tales explicaciones no solo no subsanan las deficiencias señaladas, sino que por el contrario, evidencian la inconsistencia del informe, razón por la cual entiende que el mismo no pudo válidamente ser tomado como base para la determinación del valor de los bienes.</w:t>
      </w:r>
    </w:p>
    <w:p>
      <w:pPr>
        <w:pStyle w:val="[Normal]"/>
        <w:spacing w:line="360" w:lineRule="auto"/>
        <w:ind w:firstLine="1134"/>
        <w:jc w:val="both"/>
        <w:rPr>
          <w:lang w:val="es-AR" w:eastAsia="es-AR" w:bidi="es-AR"/>
        </w:rPr>
      </w:pPr>
      <w:r>
        <w:rPr>
          <w:lang w:val="es-AR" w:eastAsia="es-AR" w:bidi="es-AR"/>
        </w:rPr>
        <w:t xml:space="preserve">En función de ello, se agravia de que la magistrada de grado haya desestimado su impugnación por considerarla una mera disconformidad carente de sustento técnico, y haya otorgado plena eficacia probatoria al dictamen pericial, fijando en consecuencia la base regulatoria sobre los valores allí determinados.</w:t>
      </w:r>
    </w:p>
    <w:p>
      <w:pPr>
        <w:pStyle w:val="[Normal]"/>
        <w:spacing w:line="360" w:lineRule="auto"/>
        <w:ind w:firstLine="1134"/>
        <w:jc w:val="both"/>
        <w:rPr>
          <w:lang w:val="es-AR" w:eastAsia="es-AR" w:bidi="es-AR"/>
        </w:rPr>
      </w:pPr>
      <w:r>
        <w:rPr>
          <w:lang w:val="es-AR" w:eastAsia="es-AR" w:bidi="es-AR"/>
        </w:rPr>
        <w:t xml:space="preserve">Postula que dicha decisión resulta errónea y debe ser revocada, solicitando se declare la invalidez de la pericia y se ordene la realización de un nuevo informe ajustado a parámetros técnicos y legales adecuados.</w:t>
      </w:r>
    </w:p>
    <w:p>
      <w:pPr>
        <w:pStyle w:val="[Normal]"/>
        <w:spacing w:line="360" w:lineRule="auto"/>
        <w:ind w:firstLine="1134"/>
        <w:jc w:val="both"/>
        <w:rPr>
          <w:lang w:val="es-AR" w:eastAsia="es-AR" w:bidi="es-AR"/>
        </w:rPr>
      </w:pPr>
      <w:r>
        <w:rPr>
          <w:lang w:val="es-AR" w:eastAsia="es-AR" w:bidi="es-AR"/>
        </w:rPr>
        <w:t xml:space="preserve">Como derivación de lo anterior, cuestiona asimismo la imposición de costas correspondientes a la incidencia relativa a la fijación de la base regulatoria, por entender que la misma se sustenta en una pericia inválida, lo que -según afirma- torna improcedente su imposición.</w:t>
      </w:r>
    </w:p>
    <w:p>
      <w:pPr>
        <w:pStyle w:val="[Normal]"/>
        <w:spacing w:line="360" w:lineRule="auto"/>
        <w:ind w:firstLine="1134"/>
        <w:jc w:val="both"/>
        <w:rPr>
          <w:lang w:val="es-AR" w:eastAsia="es-AR" w:bidi="es-AR"/>
        </w:rPr>
      </w:pPr>
      <w:r>
        <w:rPr>
          <w:lang w:val="es-AR" w:eastAsia="es-AR" w:bidi="es-AR"/>
        </w:rPr>
        <w:t xml:space="preserve">Finalmente se agravia de la regulación de honorarios practicada en autos -tanto respecto del letrado interviniente como del perito- por considerar que, al no existir una base regulatoria válida, dichas regulaciones carecen de sustento, solicitando en consecuencia que las mismas sean dejadas sin efecto hasta tanto se determine un valor conforme a derecho.</w:t>
      </w:r>
    </w:p>
    <w:p>
      <w:pPr>
        <w:pStyle w:val="[Normal]"/>
        <w:spacing w:line="360" w:lineRule="auto"/>
        <w:ind w:firstLine="1134"/>
        <w:jc w:val="both"/>
        <w:rPr>
          <w:lang w:val="es-AR" w:eastAsia="es-AR" w:bidi="es-AR"/>
        </w:rPr>
      </w:pPr>
      <w:r>
        <w:rPr>
          <w:lang w:val="es-AR" w:eastAsia="es-AR" w:bidi="es-AR"/>
        </w:rPr>
        <w:t xml:space="preserve">Con fundamento en tales consideraciones, solicita la revocación de la resolución apelada en todos sus términos, requiriendo se disponga la producción de una nueva tasación y se difiera la regulación de honorarios y la imposición de costas hasta tanto exista base regulatoria firme.</w:t>
      </w:r>
    </w:p>
    <w:p>
      <w:pPr>
        <w:pStyle w:val="[Normal]"/>
        <w:spacing w:line="360" w:lineRule="auto"/>
        <w:ind w:firstLine="1134"/>
        <w:jc w:val="both"/>
        <w:rPr>
          <w:lang w:val="es-AR" w:eastAsia="es-AR" w:bidi="es-AR"/>
        </w:rPr>
      </w:pPr>
      <w:r>
        <w:rPr>
          <w:b/>
          <w:lang w:val="es-AR" w:eastAsia="es-AR" w:bidi="es-AR"/>
        </w:rPr>
        <w:t xml:space="preserve">III. CONTESTACION AGRAVIOS:</w:t>
      </w:r>
    </w:p>
    <w:p>
      <w:pPr>
        <w:pStyle w:val="[Normal]"/>
        <w:spacing w:line="360" w:lineRule="auto"/>
        <w:ind w:firstLine="1134"/>
        <w:jc w:val="both"/>
        <w:rPr>
          <w:lang w:val="es-AR" w:eastAsia="es-AR" w:bidi="es-AR"/>
        </w:rPr>
      </w:pPr>
      <w:r>
        <w:rPr>
          <w:lang w:val="es-AR" w:eastAsia="es-AR" w:bidi="es-AR"/>
        </w:rPr>
        <w:t xml:space="preserve">El letrado Dr. Néstor Daniel Naboni solicita el rechazo íntegro del recurso interpuesto por la coheredera María Antonia Balich y la confirmación de la resolución apelada en todos sus términos.</w:t>
      </w:r>
    </w:p>
    <w:p>
      <w:pPr>
        <w:pStyle w:val="[Normal]"/>
        <w:spacing w:line="360" w:lineRule="auto"/>
        <w:ind w:firstLine="1134"/>
        <w:jc w:val="both"/>
        <w:rPr>
          <w:lang w:val="es-AR" w:eastAsia="es-AR" w:bidi="es-AR"/>
        </w:rPr>
      </w:pPr>
      <w:r>
        <w:rPr>
          <w:lang w:val="es-AR" w:eastAsia="es-AR" w:bidi="es-AR"/>
        </w:rPr>
        <w:t xml:space="preserve">Señala en primer lugar, que los agravios de la recurrente se circunscriben a cuestionar la base regulatoria tomada por la judicatura de grado, así como las consecuencias derivadas de ella en materia de costas y regulación de honorarios.</w:t>
      </w:r>
    </w:p>
    <w:p>
      <w:pPr>
        <w:pStyle w:val="[Normal]"/>
        <w:spacing w:line="360" w:lineRule="auto"/>
        <w:ind w:firstLine="1134"/>
        <w:jc w:val="both"/>
        <w:rPr>
          <w:lang w:val="es-AR" w:eastAsia="es-AR" w:bidi="es-AR"/>
        </w:rPr>
      </w:pPr>
      <w:r>
        <w:rPr>
          <w:lang w:val="es-AR" w:eastAsia="es-AR" w:bidi="es-AR"/>
        </w:rPr>
        <w:t xml:space="preserve">Sostiene que los planteos de la apelante carecen de sustento jurídico y técnico suficiente, remitiéndose -en lo sustancial- a los argumentos ya expuestos en presentaciones anteriores.</w:t>
      </w:r>
    </w:p>
    <w:p>
      <w:pPr>
        <w:pStyle w:val="[Normal]"/>
        <w:spacing w:line="360" w:lineRule="auto"/>
        <w:ind w:firstLine="1134"/>
        <w:jc w:val="both"/>
        <w:rPr>
          <w:lang w:val="es-AR" w:eastAsia="es-AR" w:bidi="es-AR"/>
        </w:rPr>
      </w:pPr>
      <w:r>
        <w:rPr>
          <w:lang w:val="es-AR" w:eastAsia="es-AR" w:bidi="es-AR"/>
        </w:rPr>
        <w:t xml:space="preserve">En particular, afirma que la crítica dirigida contra la pericia resulta infundada, negando que el dictamen adolezca de defectos que puedan comprometer su validez o eficacia probatoria.</w:t>
      </w:r>
    </w:p>
    <w:p>
      <w:pPr>
        <w:pStyle w:val="[Normal]"/>
        <w:spacing w:line="360" w:lineRule="auto"/>
        <w:ind w:firstLine="1134"/>
        <w:jc w:val="both"/>
        <w:rPr>
          <w:lang w:val="es-AR" w:eastAsia="es-AR" w:bidi="es-AR"/>
        </w:rPr>
      </w:pPr>
      <w:r>
        <w:rPr>
          <w:lang w:val="es-AR" w:eastAsia="es-AR" w:bidi="es-AR"/>
        </w:rPr>
        <w:t xml:space="preserve">Asimismo, introduce una distinción entre el valor de mercado de los inmuebles y el valor de escrituración, señalando que este último -utilizado a fines fiscales y registrales- no necesariamente refleja el precio real de las operaciones, pudiendo diferir del primero según las condiciones propias del mercado inmobiliario.</w:t>
      </w:r>
    </w:p>
    <w:p>
      <w:pPr>
        <w:pStyle w:val="[Normal]"/>
        <w:spacing w:line="360" w:lineRule="auto"/>
        <w:ind w:firstLine="1134"/>
        <w:jc w:val="both"/>
        <w:rPr>
          <w:lang w:val="es-AR" w:eastAsia="es-AR" w:bidi="es-AR"/>
        </w:rPr>
      </w:pPr>
      <w:r>
        <w:rPr>
          <w:lang w:val="es-AR" w:eastAsia="es-AR" w:bidi="es-AR"/>
        </w:rPr>
        <w:t xml:space="preserve">Sobre dicha base defiende la idoneidad de la tasación practicada en autos como parámetro adecuado para la determinación del valor de los bienes.</w:t>
      </w:r>
    </w:p>
    <w:p>
      <w:pPr>
        <w:pStyle w:val="[Normal]"/>
        <w:spacing w:line="360" w:lineRule="auto"/>
        <w:ind w:firstLine="1134"/>
        <w:jc w:val="both"/>
        <w:rPr>
          <w:lang w:val="es-AR" w:eastAsia="es-AR" w:bidi="es-AR"/>
        </w:rPr>
      </w:pPr>
      <w:r>
        <w:rPr>
          <w:lang w:val="es-AR" w:eastAsia="es-AR" w:bidi="es-AR"/>
        </w:rPr>
        <w:t xml:space="preserve">Destaca además, que la base regulatoria finalmente adoptada por la judicatura no coincide con el valor informado por el perito -que resultaría superior-, sino con la estimación oportunamente efectuada por su parte, equivalente a $ 10.000.000 por hectárea, lo que -según sostiene- evidencia la razonabilidad del criterio adoptado en la instancia de origen.</w:t>
      </w:r>
    </w:p>
    <w:p>
      <w:pPr>
        <w:pStyle w:val="[Normal]"/>
        <w:spacing w:line="360" w:lineRule="auto"/>
        <w:ind w:firstLine="1134"/>
        <w:jc w:val="both"/>
        <w:rPr>
          <w:lang w:val="es-AR" w:eastAsia="es-AR" w:bidi="es-AR"/>
        </w:rPr>
      </w:pPr>
      <w:r>
        <w:rPr>
          <w:lang w:val="es-AR" w:eastAsia="es-AR" w:bidi="es-AR"/>
        </w:rPr>
        <w:t xml:space="preserve">Finalmente, afirma que los agravios vinculados con la imposición de costas, la regulación de honorarios en la incidencia y los estipendios fijados tanto a su favor como respecto del perito carecen de fundamentación suficiente, en tanto se apoyan en la pretendida invalidez de la pericia, la cual -reitera- no se verifica en el caso.</w:t>
      </w:r>
    </w:p>
    <w:p>
      <w:pPr>
        <w:pStyle w:val="[Normal]"/>
        <w:spacing w:line="360" w:lineRule="auto"/>
        <w:ind w:firstLine="1134"/>
        <w:jc w:val="both"/>
        <w:rPr>
          <w:lang w:val="es-AR" w:eastAsia="es-AR" w:bidi="es-AR"/>
        </w:rPr>
      </w:pPr>
      <w:r>
        <w:rPr>
          <w:lang w:val="es-AR" w:eastAsia="es-AR" w:bidi="es-AR"/>
        </w:rPr>
        <w:t xml:space="preserve">En función de lo expuesto solicita se desestime el recurso de apelación y se confirme la resolución recurrida en cuanto determina la base regulatoria, impone las costas y regula los honorarios profesionales.</w:t>
      </w:r>
    </w:p>
    <w:p>
      <w:pPr>
        <w:pStyle w:val="[Normal]"/>
        <w:spacing w:line="360" w:lineRule="auto"/>
        <w:ind w:firstLine="1134"/>
        <w:jc w:val="both"/>
        <w:rPr>
          <w:b/>
          <w:lang w:val="es-AR" w:eastAsia="es-AR" w:bidi="es-AR"/>
        </w:rPr>
      </w:pPr>
      <w:r>
        <w:rPr>
          <w:b/>
          <w:lang w:val="es-AR" w:eastAsia="es-AR" w:bidi="es-AR"/>
        </w:rPr>
        <w:t xml:space="preserve">IV. TRATAMIENTO</w:t>
      </w:r>
    </w:p>
    <w:p>
      <w:pPr>
        <w:pStyle w:val="[Normal]"/>
        <w:spacing w:line="360" w:lineRule="auto"/>
        <w:ind w:firstLine="1134"/>
        <w:jc w:val="both"/>
        <w:rPr>
          <w:lang w:val="es-AR" w:eastAsia="es-AR" w:bidi="es-AR"/>
        </w:rPr>
      </w:pPr>
      <w:r>
        <w:rPr>
          <w:lang w:val="es-AR" w:eastAsia="es-AR" w:bidi="es-AR"/>
        </w:rPr>
        <w:t xml:space="preserve">Que, en forma liminar, corresponde señalar que si bien los agravios vertidos por la apelante importan -en lo sustancial- una reiteración de los cuestionamientos oportunamente formulados al impugnar el dictamen pericial, no pueden reputarse inexistentes a los fines del art. 260 del CPCC, en tanto exteriorizan una disconformidad concreta con los fundamentos de la resolución recurrida.</w:t>
      </w:r>
    </w:p>
    <w:p>
      <w:pPr>
        <w:pStyle w:val="[Normal]"/>
        <w:spacing w:line="360" w:lineRule="auto"/>
        <w:ind w:firstLine="1134"/>
        <w:jc w:val="both"/>
        <w:rPr>
          <w:lang w:val="es-AR" w:eastAsia="es-AR" w:bidi="es-AR"/>
        </w:rPr>
      </w:pPr>
      <w:r>
        <w:rPr>
          <w:lang w:val="es-AR" w:eastAsia="es-AR" w:bidi="es-AR"/>
        </w:rPr>
        <w:t xml:space="preserve">Sin embargo, dicha reiteración no acompañada de una crítica técnica idónea ni de elementos objetivos que permitan desvirtuar las conclusiones del experto, resulta insuficiente para conmover lo decidido en la instancia de origen.</w:t>
      </w:r>
    </w:p>
    <w:p>
      <w:pPr>
        <w:pStyle w:val="[Normal]"/>
        <w:spacing w:line="360" w:lineRule="auto"/>
        <w:ind w:firstLine="1134"/>
        <w:jc w:val="both"/>
        <w:rPr>
          <w:lang w:val="es-AR" w:eastAsia="es-AR" w:bidi="es-AR"/>
        </w:rPr>
      </w:pPr>
      <w:r>
        <w:rPr>
          <w:lang w:val="es-AR" w:eastAsia="es-AR" w:bidi="es-AR"/>
        </w:rPr>
        <w:t xml:space="preserve">Sentado ello, cabe recordar que la fuerza probatoria del dictamen pericial debe ser apreciada conforme a las reglas de la sana crítica (art. 474 del CPCC), ponderando la competencia del experto, los principios en que se funda y su concordancia con los demás elementos de la causa.</w:t>
      </w:r>
    </w:p>
    <w:p>
      <w:pPr>
        <w:pStyle w:val="[Normal]"/>
        <w:spacing w:line="360" w:lineRule="auto"/>
        <w:ind w:firstLine="1134"/>
        <w:jc w:val="both"/>
        <w:rPr>
          <w:lang w:val="es-AR" w:eastAsia="es-AR" w:bidi="es-AR"/>
        </w:rPr>
      </w:pPr>
      <w:r>
        <w:rPr>
          <w:lang w:val="es-AR" w:eastAsia="es-AR" w:bidi="es-AR"/>
        </w:rPr>
        <w:t xml:space="preserve">Sobre esta cuestión, la Cámara de Apelaciones en lo Civil y Comercial de Mar del Plata ha dicho que: </w:t>
      </w:r>
      <w:r>
        <w:rPr>
          <w:i/>
          <w:lang w:val="es-AR" w:eastAsia="es-AR" w:bidi="es-AR"/>
        </w:rPr>
        <w:t xml:space="preserve">"La ley no prefija ni la admisibilidad ni la fuerza probatoria de cada uno de los medios de prueba, labor que queda decididamente librada al criterio y convicción de cada magistrado. El juez es soberano para valorar o apreciar esas pruebas, de acuerdo con las reglas de la sana crítica, para saber cuál es la fuerza de convicción que contienen y si gracias a ella puede formar su convicción sobre los hechos que interesan al proceso"</w:t>
      </w:r>
      <w:r>
        <w:rPr>
          <w:lang w:val="es-AR" w:eastAsia="es-AR" w:bidi="es-AR"/>
        </w:rPr>
        <w:t xml:space="preserve"> (CC0103 MP 169280 RSD-81 S 25/06/2020 Juez GEREZ (SD), Carátula: HUGHES LORENZO TOMAS C/ PIÑEIRO PEARSON FEDERICO S/ COBRO SUMARIO SUMAS DINERO).</w:t>
      </w:r>
    </w:p>
    <w:p>
      <w:pPr>
        <w:pStyle w:val="[Normal]"/>
        <w:spacing w:line="360" w:lineRule="auto"/>
        <w:ind w:firstLine="1134"/>
        <w:jc w:val="both"/>
        <w:rPr>
          <w:lang w:val="es-AR" w:eastAsia="es-AR" w:bidi="es-AR"/>
        </w:rPr>
      </w:pPr>
      <w:r>
        <w:rPr>
          <w:lang w:val="es-AR" w:eastAsia="es-AR" w:bidi="es-AR"/>
        </w:rPr>
        <w:t xml:space="preserve">Asimismo es criterio reiterado que para apartarse de las conclusiones de un perito, no basta la mera discrepancia de las partes, sino que es menester la formulación de una crítica concreta, fundada en razones técnicas de entidad suficiente que evidencien error o insuficiencia en el dictamen.</w:t>
      </w:r>
    </w:p>
    <w:p>
      <w:pPr>
        <w:pStyle w:val="[Normal]"/>
        <w:spacing w:line="360" w:lineRule="auto"/>
        <w:ind w:firstLine="1134"/>
        <w:jc w:val="both"/>
        <w:rPr>
          <w:lang w:val="es-AR" w:eastAsia="es-AR" w:bidi="es-AR"/>
        </w:rPr>
      </w:pPr>
      <w:r>
        <w:rPr>
          <w:lang w:val="es-AR" w:eastAsia="es-AR" w:bidi="es-AR"/>
        </w:rPr>
        <w:t xml:space="preserve">Bajo tales pautas, el análisis de las actuaciones permite advertir que la impugnación articulada por la recurrente -y luego reproducida en esta instancia- no alcanza a configurar una crítica de tal naturaleza.</w:t>
      </w:r>
    </w:p>
    <w:p>
      <w:pPr>
        <w:pStyle w:val="[Normal]"/>
        <w:spacing w:line="360" w:lineRule="auto"/>
        <w:ind w:firstLine="1134"/>
        <w:jc w:val="both"/>
        <w:rPr>
          <w:lang w:val="es-AR" w:eastAsia="es-AR" w:bidi="es-AR"/>
        </w:rPr>
      </w:pPr>
      <w:r>
        <w:rPr>
          <w:lang w:val="es-AR" w:eastAsia="es-AR" w:bidi="es-AR"/>
        </w:rPr>
        <w:t xml:space="preserve">Es que no le basta al recurrente la mera demostración de una valoración diferente por parte del a quo en relación al mérito de cada una de las probanzas producidas, sino que debe acreditar que la ponderación diferencial que denuncia resulta arbitraria o absurda en el caso concreto. Al respecto, la Corte Provincial se ha ocupado de precisar el estándar de crítica esperable para rebatir la valoración judicial de la prueba, postulando la necesidad de que </w:t>
      </w:r>
      <w:r>
        <w:rPr>
          <w:i/>
          <w:lang w:val="es-AR" w:eastAsia="es-AR" w:bidi="es-AR"/>
        </w:rPr>
        <w:t xml:space="preserve">"...</w:t>
      </w:r>
      <w:r>
        <w:rPr>
          <w:i/>
          <w:color w:val="000000"/>
          <w:lang w:val="es-AR" w:eastAsia="es-AR" w:bidi="es-AR"/>
        </w:rPr>
        <w:t xml:space="preserve">tales apreciaciones aparezcan fuera de los límites de lo opinable. De modo tal que no logra evidenciarse que el pronunciamiento en crisis contenga un análisis que adolezca de graves desaciertos u omisiones que autoricen a descalificarlo como acto jurisdiccional válido, ni que lo concluido contradiga de manera palmaria las reglas de la lógica o la experiencia" </w:t>
      </w:r>
      <w:r>
        <w:rPr>
          <w:color w:val="000000"/>
          <w:lang w:val="es-AR" w:eastAsia="es-AR" w:bidi="es-AR"/>
        </w:rPr>
        <w:t xml:space="preserve">(SCBA,</w:t>
      </w:r>
      <w:r>
        <w:rPr>
          <w:i/>
          <w:color w:val="000000"/>
          <w:lang w:val="es-AR" w:eastAsia="es-AR" w:bidi="es-AR"/>
        </w:rPr>
        <w:t xml:space="preserve"> "IRIBARNE, ALICIA ADRIANA -PART. DAM.- S/ RECURSO EXTRAORDINARIO DE INAPLICABILIDAD DE LEY", </w:t>
      </w:r>
      <w:r>
        <w:rPr>
          <w:color w:val="000000"/>
          <w:lang w:val="es-AR" w:eastAsia="es-AR" w:bidi="es-AR"/>
        </w:rPr>
        <w:t xml:space="preserve">3/10/2018").</w:t>
      </w:r>
    </w:p>
    <w:p>
      <w:pPr>
        <w:pStyle w:val="[Normal]"/>
        <w:spacing w:line="360" w:lineRule="auto"/>
        <w:ind w:firstLine="1134"/>
        <w:jc w:val="both"/>
        <w:rPr>
          <w:lang w:val="es-AR" w:eastAsia="es-AR" w:bidi="es-AR"/>
        </w:rPr>
      </w:pPr>
      <w:r>
        <w:rPr>
          <w:lang w:val="es-AR" w:eastAsia="es-AR" w:bidi="es-AR"/>
        </w:rPr>
        <w:t xml:space="preserve">En efecto, si bien se señalan supuestas deficiencias metodológicas (falta de comparables, ausencia de fundamentos técnicos suficientes y omisión de considerar el condominio), lo cierto es que tales objeciones no vienen acompañadas de elementos probatorios concretos que las respalden ni de una demostración técnica que permita descalificar las conclusiones del experto. Ni siquiera de la acreditación de precios testigos de mercado u otras referencias comparativas que permitan trazar una aproximación al valor objetivo del bien en cuestión. 	</w:t>
        <w:br w:type="textWrapping"/>
      </w:r>
      <w:r>
        <w:rPr>
          <w:color w:val="000000"/>
          <w:lang w:val="es-AR" w:eastAsia="es-AR" w:bidi="es-AR"/>
        </w:rPr>
        <w:t xml:space="preserve"> 	</w:t>
      </w:r>
      <w:r>
        <w:rPr>
          <w:lang w:val="es-AR" w:eastAsia="es-AR" w:bidi="es-AR"/>
        </w:rPr>
        <w:t xml:space="preserve">A ello se agrega que al evacuar el traslado de la impugnación, el perito ratificó su dictamen, precisando que la tasación se sustentó en valores de mercado, en su experiencia profesional y en parámetros usuales de la actividad. Asimismo, aclaró aspectos concretamente cuestionados por la recurrente, indicando que la situación de condominio fue considerada al momento de fijar el valor de una de las fracciones, y que los valores asignados se inscriben dentro de un rango de precios de mercado verificables para inmuebles rurales de la zona. Tales explicaciones, lejos de desvirtuar el informe, contribuyen a reforzar su razonabilidad conforme a las reglas de la sana crítica.</w:t>
      </w:r>
    </w:p>
    <w:p>
      <w:pPr>
        <w:pStyle w:val="[Normal]"/>
        <w:spacing w:line="360" w:lineRule="auto"/>
        <w:ind w:firstLine="1134"/>
        <w:jc w:val="both"/>
        <w:rPr>
          <w:lang w:val="es-AR" w:eastAsia="es-AR" w:bidi="es-AR"/>
        </w:rPr>
      </w:pPr>
      <w:r>
        <w:rPr>
          <w:lang w:val="es-AR" w:eastAsia="es-AR" w:bidi="es-AR"/>
        </w:rPr>
        <w:t xml:space="preserve">Sin perjuicio de ello, cabe señalar que las consideraciones efectuadas por el perito en torno a los valores de escrituración -en cuanto afirma, de modo general, que no reflejarían los precios reales de mercado- no constituyen, por sí solas, un fundamento técnico suficiente ni pueden ser receptadas en términos absolutos, en tanto se trata de afirmaciones genéricas que exceden el marco propio de la labor pericial y carecen de sustento específico en las constancias de la causa.</w:t>
      </w:r>
    </w:p>
    <w:p>
      <w:pPr>
        <w:pStyle w:val="[Normal]"/>
        <w:spacing w:line="360" w:lineRule="auto"/>
        <w:ind w:firstLine="1134"/>
        <w:jc w:val="both"/>
        <w:rPr>
          <w:lang w:val="es-AR" w:eastAsia="es-AR" w:bidi="es-AR"/>
        </w:rPr>
      </w:pPr>
      <w:r>
        <w:rPr>
          <w:lang w:val="es-AR" w:eastAsia="es-AR" w:bidi="es-AR"/>
        </w:rPr>
        <w:t xml:space="preserve">No obstante, dicha circunstancia no resulta idónea para descalificar el dictamen en su totalidad, en tanto la tasación se apoya en otros parámetros propios del mercado inmobiliario que han sido ponderados. En este contexto, tampoco los valores de escrituración invocados por la apelante resultan determinantes como criterio exclusivo para establecer el valor de mercado de los inmuebles, pues los montos consignados en las escrituras públicas pueden responder a variables ajenas al precio real, por lo que no constituyen, por sí solos, un indicador concluyente del valor venal del bien, el cual debe ser apreciado conforme a criterios técnicos propios de la materia.</w:t>
      </w:r>
    </w:p>
    <w:p>
      <w:pPr>
        <w:pStyle w:val="[Normal]"/>
        <w:spacing w:line="360" w:lineRule="auto"/>
        <w:ind w:firstLine="1134"/>
        <w:jc w:val="both"/>
        <w:rPr>
          <w:lang w:val="es-AR" w:eastAsia="es-AR" w:bidi="es-AR"/>
        </w:rPr>
      </w:pPr>
      <w:r>
        <w:rPr>
          <w:lang w:val="es-AR" w:eastAsia="es-AR" w:bidi="es-AR"/>
        </w:rPr>
        <w:t xml:space="preserve">Por otra parte, no puede soslayarse que la judicatura de grado no se limitó a receptar sin más el valor informado por el perito, sino que, en ejercicio de las facultades que le confiere el ordenamiento, fijó la base regulatoria en un monto que estimó razonable, tomando como referencia la valuación efectuada por el letrado interviniente, en tanto la consideró más próxima a los valores de mercado informados en la pericia.</w:t>
      </w:r>
    </w:p>
    <w:p>
      <w:pPr>
        <w:pStyle w:val="[Normal]"/>
        <w:spacing w:line="360" w:lineRule="auto"/>
        <w:ind w:firstLine="1134"/>
        <w:jc w:val="both"/>
        <w:rPr>
          <w:lang w:val="es-AR" w:eastAsia="es-AR" w:bidi="es-AR"/>
        </w:rPr>
      </w:pPr>
      <w:r>
        <w:rPr>
          <w:lang w:val="es-AR" w:eastAsia="es-AR" w:bidi="es-AR"/>
        </w:rPr>
        <w:t xml:space="preserve">Tal proceder se ajusta a lo dispuesto por el art. 27 inc. a) de la ley 14.967, en cuanto no impone una adhesión automática a las conclusiones del experto, sino que habilita al juzgador a ponderar el conjunto de los elementos de la causa a fin de determinar el valor de los bienes, sin que exista obligación de seguir en forma estricta ni el dictamen pericial ni las estimaciones de las partes.</w:t>
      </w:r>
    </w:p>
    <w:p>
      <w:pPr>
        <w:pStyle w:val="[Normal]"/>
        <w:spacing w:line="360" w:lineRule="auto"/>
        <w:ind w:firstLine="1134"/>
        <w:jc w:val="both"/>
        <w:rPr>
          <w:lang w:val="es-AR" w:eastAsia="es-AR" w:bidi="es-AR"/>
        </w:rPr>
      </w:pPr>
      <w:r>
        <w:rPr>
          <w:lang w:val="es-AR" w:eastAsia="es-AR" w:bidi="es-AR"/>
        </w:rPr>
        <w:t xml:space="preserve">En tales condiciones, no se advierte que la resolución apelada haya incurrido en error en la valoración del dictamen pericial ni en la determinación de la base regulatoria, por lo que los agravios vertidos en tal sentido no pueden prosperar.</w:t>
      </w:r>
    </w:p>
    <w:p>
      <w:pPr>
        <w:pStyle w:val="[Normal]"/>
        <w:spacing w:line="360" w:lineRule="auto"/>
        <w:ind w:firstLine="1134"/>
        <w:jc w:val="both"/>
        <w:rPr>
          <w:lang w:val="es-AR" w:eastAsia="es-AR" w:bidi="es-AR"/>
        </w:rPr>
      </w:pPr>
      <w:r>
        <w:rPr>
          <w:lang w:val="es-AR" w:eastAsia="es-AR" w:bidi="es-AR"/>
        </w:rPr>
        <w:t xml:space="preserve">Finalmente, en lo que atañe a la imposición de costas y regulación de honorarios, cabe señalar que los agravios carecen de autonomía, en tanto se sustentan exclusivamente en la pretendida invalidez del dictamen pericial y de la base regulatoria fijada. En efecto, la recurrente no cuestiona concretamente la procedencia de la imposición de costas en cabeza de determinada parte, ni formula crítica específica respecto de los parámetros o del monto de los honorarios fijados, limitándose a solicitar que tales decisiones sean dejadas sin efecto como mera consecuencia de la alegada invalidez de la tasación.</w:t>
      </w:r>
    </w:p>
    <w:p>
      <w:pPr>
        <w:pStyle w:val="[Normal]"/>
        <w:spacing w:line="360" w:lineRule="auto"/>
        <w:ind w:firstLine="1134"/>
        <w:jc w:val="both"/>
        <w:rPr>
          <w:lang w:val="es-AR" w:eastAsia="es-AR" w:bidi="es-AR"/>
        </w:rPr>
      </w:pPr>
      <w:r>
        <w:rPr>
          <w:lang w:val="es-AR" w:eastAsia="es-AR" w:bidi="es-AR"/>
        </w:rPr>
        <w:t xml:space="preserve">En consecuencia, al no prosperar el agravio principal, igual suerte deben correr los cuestionamientos accesorios, sin que se advierta, por lo demás, la existencia de argumentos específicos que justifiquen apartarse del criterio objetivo de la derrota (arts. 68 y concs. del CPCC) ni de las regulaciones practicadas conforme a las pautas legales vigentes.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la resolución puesta en crisis.</w:t>
      </w:r>
    </w:p>
    <w:p>
      <w:pPr>
        <w:pStyle w:val="[Normal]"/>
        <w:spacing w:line="360" w:lineRule="auto"/>
        <w:ind w:firstLine="1134"/>
        <w:jc w:val="both"/>
        <w:rPr>
          <w:lang w:val="es-AR" w:eastAsia="es-AR" w:bidi="es-AR"/>
        </w:rPr>
      </w:pPr>
      <w:r>
        <w:rPr>
          <w:lang w:val="es-AR" w:eastAsia="es-AR" w:bidi="es-AR"/>
        </w:rPr>
        <w:t xml:space="preserve">Costas a la apelante vencida (art. 68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la resolución puesta en crisis.</w:t>
      </w:r>
    </w:p>
    <w:p>
      <w:pPr>
        <w:pStyle w:val="[Normal]"/>
        <w:spacing w:line="360" w:lineRule="auto"/>
        <w:ind w:firstLine="1134"/>
        <w:jc w:val="both"/>
        <w:rPr>
          <w:lang w:val="es-AR" w:eastAsia="es-AR" w:bidi="es-AR"/>
        </w:rPr>
      </w:pPr>
      <w:r>
        <w:rPr>
          <w:lang w:val="es-AR" w:eastAsia="es-AR" w:bidi="es-AR"/>
        </w:rPr>
        <w:t xml:space="preserve">Costas a la apelante vencida (art. 68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14/04/2026 10:13:48 -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14/04/2026 10:34:56 -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14/04/2026 13:28:17 -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‰7h")è&amp;p=83Š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237202090006802924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14/04/2026 13:28:28 hs. bajo el número RS-55-2026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