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5956-25</w:t>
      </w:r>
      <w:r>
        <w:rPr>
          <w:lang w:val="es-AR" w:eastAsia="es-AR" w:bidi="es-AR"/>
        </w:rPr>
        <w:t xml:space="preserve"> caratulada </w:t>
      </w:r>
      <w:r>
        <w:rPr>
          <w:b/>
          <w:lang w:val="es-AR" w:eastAsia="es-AR" w:bidi="es-AR"/>
        </w:rPr>
        <w:t xml:space="preserve">"</w:t>
      </w:r>
      <w:r>
        <w:rPr>
          <w:b/>
          <w:color w:val="000000"/>
          <w:lang w:val="es-AR" w:eastAsia="es-AR" w:bidi="es-AR"/>
        </w:rPr>
        <w:t xml:space="preserve">HERNANDEZ NANCY LEONOR Y OTRO/A C/ AGUIRRE DE FERNANDEZ ESTEFANIA S/ PRESCRIPCION ADQUISITIVA LARGA</w:t>
      </w:r>
      <w:r>
        <w:rPr>
          <w:b/>
          <w:lang w:val="es-AR" w:eastAsia="es-AR" w:bidi="es-AR"/>
        </w:rPr>
        <w:t xml:space="preserve">"</w:t>
      </w:r>
      <w:r>
        <w:rPr>
          <w:lang w:val="es-AR" w:eastAsia="es-AR" w:bidi="es-AR"/>
        </w:rPr>
        <w:t xml:space="preserve">, Expte. N° 76.212 del Juzgado en lo Civil y Comercial N°1,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ea señora Jueza Graciela Scaraffia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de prescripción adquisitiva incoada por Nancy Lenor Hernandez y Pánfilo Benjamin Valdéz contra Estefanía Aguirre de Fernandez sobre el bien inmueble identificado en autos. Impuso las costas a la actora que resultó vencida y difirió la regulación de honorarios para su oportunidad.-</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parte actora en fecha 15-12-2025, fundado el 2-2-2026, habiendo la Defensora Oficial contestado el traslado conferido el 12-2-2026.-</w:t>
      </w:r>
    </w:p>
    <w:p>
      <w:pPr>
        <w:pStyle w:val="[Normal]"/>
        <w:spacing w:line="360" w:lineRule="auto"/>
        <w:ind w:firstLine="1134"/>
        <w:jc w:val="both"/>
        <w:rPr>
          <w:lang w:val="es-AR" w:eastAsia="es-AR" w:bidi="es-AR"/>
        </w:rPr>
      </w:pPr>
      <w:r>
        <w:rPr>
          <w:lang w:val="es-AR" w:eastAsia="es-AR" w:bidi="es-AR"/>
        </w:rPr>
        <w:t xml:space="preserve">Con fecha 19-2-2026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Centra su crítica la quejosa en el rechazo a la acción de usucapión por ella entablada.-</w:t>
      </w:r>
    </w:p>
    <w:p>
      <w:pPr>
        <w:pStyle w:val="[Normal]"/>
        <w:spacing w:line="360" w:lineRule="auto"/>
        <w:ind w:firstLine="1134"/>
        <w:jc w:val="both"/>
        <w:rPr>
          <w:lang w:val="es-AR" w:eastAsia="es-AR" w:bidi="es-AR"/>
        </w:rPr>
      </w:pPr>
      <w:r>
        <w:rPr>
          <w:lang w:val="es-AR" w:eastAsia="es-AR" w:bidi="es-AR"/>
        </w:rPr>
        <w:t xml:space="preserve">Se agravia por considerar que la sentencia de grado rechaza la acción de prescripción adquisitiva sobre la base de una errónea interpretación normativa y una arbitraria valoración de la prueba, lo que deriva en un gravamen irreparable.</w:t>
      </w:r>
    </w:p>
    <w:p>
      <w:pPr>
        <w:pStyle w:val="[Normal]"/>
        <w:spacing w:line="360" w:lineRule="auto"/>
        <w:ind w:firstLine="1134"/>
        <w:jc w:val="both"/>
        <w:rPr>
          <w:lang w:val="es-AR" w:eastAsia="es-AR" w:bidi="es-AR"/>
        </w:rPr>
      </w:pPr>
      <w:r>
        <w:rPr>
          <w:lang w:val="es-AR" w:eastAsia="es-AR" w:bidi="es-AR"/>
        </w:rPr>
        <w:t xml:space="preserve">Sostiene que el a quo incurre en un rigor formal excesivo al asignar al pago de tributos un valor determinante para acreditar el animus domini, cuando la Ley 14.159 lo contempla solo como un indicio a ponderar conjuntamente con el resto de la prueba, sin exigir regularidad fiscal durante todo el plazo legal.-</w:t>
      </w:r>
    </w:p>
    <w:p>
      <w:pPr>
        <w:pStyle w:val="[Normal]"/>
        <w:spacing w:line="360" w:lineRule="auto"/>
        <w:ind w:firstLine="1134"/>
        <w:jc w:val="both"/>
        <w:rPr>
          <w:lang w:val="es-AR" w:eastAsia="es-AR" w:bidi="es-AR"/>
        </w:rPr>
      </w:pPr>
      <w:r>
        <w:rPr>
          <w:lang w:val="es-AR" w:eastAsia="es-AR" w:bidi="es-AR"/>
        </w:rPr>
        <w:t xml:space="preserve">Asimismo, cuestiona la desestimación de los comprobantes acompañados y la valoración negativa de incumplimientos posteriores a la demanda, por tratarse de circunstancias irrelevantes frente a un derecho ya adquirido.-</w:t>
      </w:r>
    </w:p>
    <w:p>
      <w:pPr>
        <w:pStyle w:val="[Normal]"/>
        <w:spacing w:line="360" w:lineRule="auto"/>
        <w:ind w:firstLine="1134"/>
        <w:jc w:val="both"/>
        <w:rPr>
          <w:lang w:val="es-AR" w:eastAsia="es-AR" w:bidi="es-AR"/>
        </w:rPr>
      </w:pPr>
      <w:r>
        <w:rPr>
          <w:lang w:val="es-AR" w:eastAsia="es-AR" w:bidi="es-AR"/>
        </w:rPr>
        <w:t xml:space="preserve">Finalmente, denuncia una arbitraria valoración del plexo probatorio, al haberse prescindido de elementos decisivos (prueba testimonial, reconocimiento judicial y actos posesorios) que acreditarían la posesión pública, pacífica e ininterrumpida por más de veinte años, en violación de las reglas de la sana crítica, concluyendo que se encuentran debidamente configurados los elementos de la usucapión.-</w:t>
      </w:r>
    </w:p>
    <w:p>
      <w:pPr>
        <w:pStyle w:val="[Normal]"/>
        <w:spacing w:line="360" w:lineRule="auto"/>
        <w:ind w:firstLine="1134"/>
        <w:jc w:val="both"/>
        <w:rPr>
          <w:lang w:val="es-AR" w:eastAsia="es-AR" w:bidi="es-AR"/>
        </w:rPr>
      </w:pPr>
      <w:r>
        <w:rPr>
          <w:lang w:val="es-AR" w:eastAsia="es-AR" w:bidi="es-AR"/>
        </w:rPr>
        <w:t xml:space="preserve">Solicita se revoque el fallo apelado y se haga lugar a la adquisición de dominio por prescripción veinteañal a su favor.-</w:t>
      </w:r>
    </w:p>
    <w:p>
      <w:pPr>
        <w:pStyle w:val="[Normal]"/>
        <w:spacing w:line="360" w:lineRule="auto"/>
        <w:ind w:firstLine="1134"/>
        <w:jc w:val="both"/>
        <w:rPr>
          <w:lang w:val="es-AR" w:eastAsia="es-AR" w:bidi="es-AR"/>
        </w:rPr>
      </w:pPr>
      <w:r>
        <w:rPr>
          <w:lang w:val="es-AR" w:eastAsia="es-AR" w:bidi="es-AR"/>
        </w:rPr>
        <w:t xml:space="preserve">A su turno la Defensora Oficial rebate lo argumentos vertidos por la actora y solicita se confirme la sentencia apelada en todas sus partes con costas.-</w:t>
      </w:r>
    </w:p>
    <w:p>
      <w:pPr>
        <w:pStyle w:val="[Normal]"/>
        <w:spacing w:line="360" w:lineRule="auto"/>
        <w:ind w:firstLine="1134"/>
        <w:jc w:val="both"/>
        <w:rPr>
          <w:lang w:val="es-AR" w:eastAsia="es-AR" w:bidi="es-AR"/>
        </w:rPr>
      </w:pPr>
      <w:r>
        <w:rPr>
          <w:lang w:val="es-AR" w:eastAsia="es-AR" w:bidi="es-AR"/>
        </w:rPr>
        <w:t xml:space="preserve">Entrando a resolver, es claro el interés social comprometido en la cuestión, desde que al exigirse la posesión de la cosa como fundamento fáctico para acceder a ella por la vía de la prescripción adquisitiva, supone la actuación útil de quien no tiene la propiedad y que, sin embargo, la conserva frente a la inactividad del dueño.-</w:t>
      </w:r>
    </w:p>
    <w:p>
      <w:pPr>
        <w:pStyle w:val="[Normal]"/>
        <w:spacing w:line="360" w:lineRule="auto"/>
        <w:ind w:firstLine="1134"/>
        <w:jc w:val="both"/>
        <w:rPr>
          <w:lang w:val="es-AR" w:eastAsia="es-AR" w:bidi="es-AR"/>
        </w:rPr>
      </w:pPr>
      <w:r>
        <w:rPr>
          <w:lang w:val="es-AR" w:eastAsia="es-AR" w:bidi="es-AR"/>
        </w:rPr>
        <w:t xml:space="preserve">Cuadra destacar que 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tanto, corresponde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lang w:val="es-AR" w:eastAsia="es-AR" w:bidi="es-AR"/>
        </w:rPr>
      </w:pPr>
      <w:r>
        <w:rPr>
          <w:lang w:val="es-AR" w:eastAsia="es-AR" w:bidi="es-AR"/>
        </w:rPr>
        <w:t xml:space="preserve">En lo que respecta al primero de los recaudos -corpus-, la prueba testimonial rendida a través del único testigo de la causa, Sr. Cristian Hernán Aisa (vecino), da cuenta de que los actores ocuparían el inmueble desde hace aproximadamente 15 a 20 años, refiriendo asimismo la realización de diversas mejoras, tales como tareas de desmalezamiento y mantenimiento, así como la construcción de un tapial y de varias viviendas en el inmueble.-</w:t>
      </w:r>
    </w:p>
    <w:p>
      <w:pPr>
        <w:pStyle w:val="[Normal]"/>
        <w:spacing w:line="360" w:lineRule="auto"/>
        <w:ind w:firstLine="1134"/>
        <w:jc w:val="both"/>
        <w:rPr>
          <w:lang w:val="es-AR" w:eastAsia="es-AR" w:bidi="es-AR"/>
        </w:rPr>
      </w:pPr>
      <w:r>
        <w:rPr>
          <w:lang w:val="es-AR" w:eastAsia="es-AR" w:bidi="es-AR"/>
        </w:rPr>
        <w:t xml:space="preserve">Respecto de la</w:t>
      </w:r>
      <w:r>
        <w:rPr>
          <w:b/>
          <w:lang w:val="es-AR" w:eastAsia="es-AR" w:bidi="es-AR"/>
        </w:rPr>
        <w:t xml:space="preserve"> </w:t>
      </w:r>
      <w:r>
        <w:rPr>
          <w:lang w:val="es-AR" w:eastAsia="es-AR" w:bidi="es-AR"/>
        </w:rPr>
        <w:t xml:space="preserve">prueba testimonial, cabe recordar que la misma es insuficiente por sí sola, siendo preciso por tanto confrontar o ratificar los dichos de los testigos con otras pruebas</w:t>
      </w:r>
      <w:r>
        <w:rPr>
          <w:b/>
          <w:i/>
          <w:lang w:val="es-AR" w:eastAsia="es-AR" w:bidi="es-AR"/>
        </w:rPr>
        <w:t xml:space="preserve"> </w:t>
      </w:r>
      <w:r>
        <w:rPr>
          <w:lang w:val="es-AR" w:eastAsia="es-AR" w:bidi="es-AR"/>
        </w:rPr>
        <w:t xml:space="preserve">que reflejen esos mismos hechos, es decir, que acrediten sus referencias (cfr. Cám. Civ. y Com. 2°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veinteañal (CC0203 LP 112039 RSD-36-10 S 13-4-2012, Juez MENDIVIL (SD) JUBA B355325).-</w:t>
      </w:r>
    </w:p>
    <w:p>
      <w:pPr>
        <w:pStyle w:val="[Normal]"/>
        <w:spacing w:line="360" w:lineRule="auto"/>
        <w:ind w:firstLine="1134"/>
        <w:jc w:val="both"/>
        <w:rPr>
          <w:lang w:val="es-AR" w:eastAsia="es-AR" w:bidi="es-AR"/>
        </w:rPr>
      </w:pPr>
      <w:r>
        <w:rPr>
          <w:lang w:val="es-AR" w:eastAsia="es-AR" w:bidi="es-AR"/>
        </w:rPr>
        <w:t xml:space="preserve">En esta linea de ideas, la inspección ocular realizada por el secretario del juzgado da cuenta de la existencia en el inmueble de diversas construcciones (cochera/galpón de amplias dimensiones, locales comerciales y varias unidades habitacionales, una de ellas ocupada por la familia actora), ello en concordancia con el testimonio brindado por el Sr. Aisa.-</w:t>
      </w:r>
    </w:p>
    <w:p>
      <w:pPr>
        <w:pStyle w:val="[Normal]"/>
        <w:spacing w:line="360" w:lineRule="auto"/>
        <w:ind w:firstLine="1134"/>
        <w:jc w:val="both"/>
        <w:rPr>
          <w:lang w:val="es-AR" w:eastAsia="es-AR" w:bidi="es-AR"/>
        </w:rPr>
      </w:pPr>
      <w:r>
        <w:rPr>
          <w:lang w:val="es-AR" w:eastAsia="es-AR" w:bidi="es-AR"/>
        </w:rPr>
        <w:t xml:space="preserve">No obstante, ponderando que los accionantes invocan el inicio de la posesión en el año 1994, cabe señalar que de la prueba producida no es posible determinar la data de las construcciones realizadas, lo que impide establecer su proximidad temporal con el comienzo de la ocupación alegada y, por ende, su idoneidad para acreditar el extremo posesorios desde dicho momento inicial.-</w:t>
      </w:r>
    </w:p>
    <w:p>
      <w:pPr>
        <w:pStyle w:val="[Normal]"/>
        <w:spacing w:line="360" w:lineRule="auto"/>
        <w:ind w:firstLine="1134"/>
        <w:jc w:val="both"/>
        <w:rPr>
          <w:lang w:val="es-AR" w:eastAsia="es-AR" w:bidi="es-AR"/>
        </w:rPr>
      </w:pPr>
      <w:r>
        <w:rPr>
          <w:lang w:val="es-AR" w:eastAsia="es-AR" w:bidi="es-AR"/>
        </w:rPr>
        <w:t xml:space="preserve">Ahora bien, aún en supuesto de tenerse por probado el corpus posesorio mediante la realización de actos materiales, debe acreditarse ademas la posesión con ánimo de dueño, pues la existencia el primero no hace presumir la del segundo (cfr.  Cám. Civ. y Com Do, causa 85012 RSD 184/07).-</w:t>
      </w:r>
    </w:p>
    <w:p>
      <w:pPr>
        <w:pStyle w:val="[Normal]"/>
        <w:spacing w:line="360" w:lineRule="auto"/>
        <w:ind w:firstLine="1134"/>
        <w:jc w:val="both"/>
        <w:rPr>
          <w:lang w:val="es-AR" w:eastAsia="es-AR" w:bidi="es-AR"/>
        </w:rPr>
      </w:pPr>
      <w:r>
        <w:rPr>
          <w:lang w:val="es-AR" w:eastAsia="es-AR" w:bidi="es-AR"/>
        </w:rPr>
        <w:t xml:space="preserve">Y debe probarse no sólo la posesión animus domini actual, sino también la anterior y especialmente la que tuviera al inicio de la ocupación, como único medio de demostrar el cumplimiento del plazo legal (cfr. CC0003 SM 66994 D-145/12 S 14/11/2013 Juez PEREZ (SD) JUBA B3651195).-</w:t>
      </w:r>
    </w:p>
    <w:p>
      <w:pPr>
        <w:pStyle w:val="[Normal]"/>
        <w:spacing w:line="360" w:lineRule="auto"/>
        <w:ind w:firstLine="1134"/>
        <w:jc w:val="both"/>
        <w:rPr>
          <w:lang w:val="es-AR" w:eastAsia="es-AR" w:bidi="es-AR"/>
        </w:rPr>
      </w:pPr>
      <w:r>
        <w:rPr>
          <w:lang w:val="es-AR" w:eastAsia="es-AR" w:bidi="es-AR"/>
        </w:rPr>
        <w:t xml:space="preserve">Obran agregados en autos respecto de la partida inmobiliaria 082-35886-4 recibo por pago de impuesto inmobiliario por los periodos comprendidos entre 2015 a 2020 (sólo un periodo del último año) los cuales fueron todos abonados en la misma fecha y de servicios sanitarios se abonaros solo los periodos 2021 y 2022. </w:t>
      </w:r>
    </w:p>
    <w:p>
      <w:pPr>
        <w:pStyle w:val="[Normal]"/>
        <w:spacing w:line="360" w:lineRule="auto"/>
        <w:ind w:firstLine="1134"/>
        <w:jc w:val="both"/>
        <w:rPr>
          <w:lang w:val="es-AR" w:eastAsia="es-AR" w:bidi="es-AR"/>
        </w:rPr>
      </w:pPr>
      <w:r>
        <w:rPr>
          <w:lang w:val="es-AR" w:eastAsia="es-AR" w:bidi="es-AR"/>
        </w:rPr>
        <w:t xml:space="preserve">Tal circunstancia sobre esta partida inmobiliaria adquiere particular relevancia, pues el pago de impuestos realizado en fechas cercanas al inicio de una demanda de usucapión (12-7-2021) generalmente no se considera prueba suficiente para acreditar la posesión, pudiendo interpretarse, en cambio, como un intento de preconstituir prueba antes que como una verdadera manifestación del ánimo de dueño.-</w:t>
      </w:r>
    </w:p>
    <w:p>
      <w:pPr>
        <w:pStyle w:val="[Normal]"/>
        <w:spacing w:line="360" w:lineRule="auto"/>
        <w:ind w:firstLine="1134"/>
        <w:jc w:val="both"/>
        <w:rPr>
          <w:lang w:val="es-AR" w:eastAsia="es-AR" w:bidi="es-AR"/>
        </w:rPr>
      </w:pPr>
      <w:r>
        <w:rPr>
          <w:lang w:val="es-AR" w:eastAsia="es-AR" w:bidi="es-AR"/>
        </w:rPr>
        <w:t xml:space="preserve">En este sentido se ha dicho jurisprudencialmente que "</w:t>
      </w:r>
      <w:r>
        <w:rPr>
          <w:i/>
          <w:lang w:val="es-AR" w:eastAsia="es-AR" w:bidi="es-AR"/>
        </w:rPr>
        <w:t xml:space="preserve">El pago de impuestos en un sólo acto y pocos años antes de iniciarse la demanda de usucapión, puede ser considerado válidamente como carente de valor probatorio, ya que no es demostrativo de un pago más o menos regular</w:t>
      </w:r>
      <w:r>
        <w:rPr>
          <w:lang w:val="es-AR" w:eastAsia="es-AR" w:bidi="es-AR"/>
        </w:rPr>
        <w:t xml:space="preserve">" (CC0002 MO 34081 RSD-403-95 S 17/10/1995 JUBA B2350745).-</w:t>
      </w:r>
    </w:p>
    <w:p>
      <w:pPr>
        <w:pStyle w:val="[Normal]"/>
        <w:spacing w:line="360" w:lineRule="auto"/>
        <w:ind w:firstLine="1134"/>
        <w:jc w:val="both"/>
        <w:rPr>
          <w:lang w:val="es-AR" w:eastAsia="es-AR" w:bidi="es-AR"/>
        </w:rPr>
      </w:pPr>
      <w:r>
        <w:rPr>
          <w:lang w:val="es-AR" w:eastAsia="es-AR" w:bidi="es-AR"/>
        </w:rPr>
        <w:t xml:space="preserve">Y respecto a la partida inmobiliaria 082-35887-2 se abonó el impuesto inmobiliario por los períodos 2003 a 2007, el año 2016 y un solo periodo correspondiente al año 2020 y de servicios sanitarios se abonaros solo los períodos 2021 y 2022.-</w:t>
      </w:r>
    </w:p>
    <w:p>
      <w:pPr>
        <w:pStyle w:val="[Normal]"/>
        <w:spacing w:line="360" w:lineRule="auto"/>
        <w:ind w:firstLine="1134"/>
        <w:jc w:val="both"/>
        <w:rPr>
          <w:lang w:val="es-AR" w:eastAsia="es-AR" w:bidi="es-AR"/>
        </w:rPr>
      </w:pPr>
      <w:r>
        <w:rPr>
          <w:lang w:val="es-AR" w:eastAsia="es-AR" w:bidi="es-AR"/>
        </w:rPr>
        <w:t xml:space="preserve">Se ha dicho claramente que</w:t>
      </w:r>
      <w:r>
        <w:rPr>
          <w:i/>
          <w:lang w:val="es-AR" w:eastAsia="es-AR" w:bidi="es-AR"/>
        </w:rPr>
        <w:t xml:space="preserve"> "El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w:t>
      </w:r>
    </w:p>
    <w:p>
      <w:pPr>
        <w:pStyle w:val="[Normal]"/>
        <w:spacing w:line="360" w:lineRule="auto"/>
        <w:ind w:firstLine="1134"/>
        <w:jc w:val="both"/>
        <w:rPr>
          <w:lang w:val="es-AR" w:eastAsia="es-AR" w:bidi="es-AR"/>
        </w:rPr>
      </w:pPr>
      <w:r>
        <w:rPr>
          <w:lang w:val="es-AR" w:eastAsia="es-AR" w:bidi="es-AR"/>
        </w:rPr>
        <w:t xml:space="preserve">En tal sentido, corresponde señalar que la mera ocupación del inmueble por parte de los Sres. Nancy Leonor Hernandez y Pánfilo Benjamin Valdéz durante determinado lapso no resulta suficiente, por sí sola, para tener por configurado el animus domini exigido a los fines de la prescripción adquisitiva. Ello así, por cuanto del análisis integral del material probatorio no se advierte que los actos posesorios invocados guarden la necesaria proximidad temporal con la fecha de ingreso alegada, ni que los actos indicativos de dicho elemento subjetivo -en particular, el pago de impuestos y tasas- presenten la regularidad y extensión temporal que permitan inferir, con el debido grado de certeza, la existencia de ánimo de dueño desde el inicio de la ocupación.-</w:t>
      </w:r>
    </w:p>
    <w:p>
      <w:pPr>
        <w:pStyle w:val="[Normal]"/>
        <w:spacing w:line="360" w:lineRule="auto"/>
        <w:ind w:firstLine="1134"/>
        <w:jc w:val="both"/>
        <w:rPr>
          <w:lang w:val="es-AR" w:eastAsia="es-AR" w:bidi="es-AR"/>
        </w:rPr>
      </w:pPr>
      <w:r>
        <w:rPr>
          <w:i/>
          <w:lang w:val="es-AR" w:eastAsia="es-AR" w:bidi="es-AR"/>
        </w:rPr>
        <w:t xml:space="preserve">"En el sistema de valoración de la prueba consagrado por el Código Procesal Civil y Comercial de la Provincia de Buenos Aires basado en la sana critica se reserva al arbitrio judicial la concreta determinación de la eficacia de la prueba según reglas lógicas y máximas de la experiencia. Así, pues, la ley no prefija ni la admisibilidad ni la fuerza probatoria de cada uno de los medios de prueba, labor que queda decididamente librada al criterio y convicción de cada magistrado. El juez es soberano para valorar o apreciar esas pruebas, de acuerdo con las reglas de la sana crítica, para saber cuál es la fuerza de convicción que contienen y si gracias a ella puede formar su convicción sobre los hechos que interesan al proceso."(CC0103 MP 169222 59 S 27/05/2020 JUBA B5080833).-</w:t>
      </w:r>
    </w:p>
    <w:p>
      <w:pPr>
        <w:pStyle w:val="[Normal]"/>
        <w:spacing w:line="360" w:lineRule="auto"/>
        <w:ind w:firstLine="1134"/>
        <w:jc w:val="both"/>
        <w:rPr>
          <w:lang w:val="es-AR" w:eastAsia="es-AR" w:bidi="es-AR"/>
        </w:rPr>
      </w:pPr>
      <w:r>
        <w:rPr>
          <w:lang w:val="es-AR" w:eastAsia="es-AR" w:bidi="es-AR"/>
        </w:rPr>
        <w:t xml:space="preserve">Por todo lo expuesto, no encontrándose acreditado los extremos exigidos por la normativa aplicable en la materia por el plazo requerido por la ley, estimo ajustada a derecho la decisión del primer juzgador (Arts. 1899, 1915, 1928 y ss del CCyC; Arts. 375,384 y ccts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el fallo atacado.-</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el fallo atacado.-</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10:33:15 -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11:42:25 -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11:42:54 -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‰8u")è&amp;x8l/Š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248502090006882476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28/04/2026 11:43:10 hs. bajo el número RS-60-2026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