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5916-25</w:t>
      </w:r>
      <w:r>
        <w:rPr>
          <w:lang w:val="es-AR" w:eastAsia="es-AR" w:bidi="es-AR"/>
        </w:rPr>
        <w:t xml:space="preserve"> caratulada </w:t>
      </w:r>
      <w:r>
        <w:rPr>
          <w:b/>
          <w:lang w:val="es-AR" w:eastAsia="es-AR" w:bidi="es-AR"/>
        </w:rPr>
        <w:t xml:space="preserve">"</w:t>
      </w:r>
      <w:r>
        <w:rPr>
          <w:b/>
          <w:color w:val="000000"/>
          <w:lang w:val="es-AR" w:eastAsia="es-AR" w:bidi="es-AR"/>
        </w:rPr>
        <w:t xml:space="preserve">MORENO JORGE DOMINGO C/ MORENO CARLOS DAMIAN Y OTROS S/ PRESCRIPCION ADQUISITIVA LARGA</w:t>
      </w:r>
      <w:r>
        <w:rPr>
          <w:b/>
          <w:lang w:val="es-AR" w:eastAsia="es-AR" w:bidi="es-AR"/>
        </w:rPr>
        <w:t xml:space="preserve">"</w:t>
      </w:r>
      <w:r>
        <w:rPr>
          <w:lang w:val="es-AR" w:eastAsia="es-AR" w:bidi="es-AR"/>
        </w:rPr>
        <w:t xml:space="preserve">, Expte. N° 63553 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Sr. juez de grado rechazó la demanda por prescripción adquisitiva promovida por Jorge Domingo Moreno contra Elida Fernanda Moreno, José Alberto Moreno, Carlos Damián Moreno y Elida Otilia Lacuadra, respecto del inmueble individualizado en autos. Asimismo, desestimó la pretensión de declaración de legítimo abono introducida en la demanda. Impuso las costas a la parte actora y difirió la regulación de honorarios hasta tanto se dé cumplimiento a lo dispuesto por el art. 27 de la ley 14.967.-</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actora el 27-10-2025, fundado el 18-11-2025, habiendo la contraparte evacuado el traslado conferido en fecha 16-12-2025.-</w:t>
      </w:r>
    </w:p>
    <w:p>
      <w:pPr>
        <w:pStyle w:val="[Normal]"/>
        <w:spacing w:line="360" w:lineRule="auto"/>
        <w:ind w:firstLine="1134"/>
        <w:jc w:val="both"/>
        <w:rPr>
          <w:lang w:val="es-AR" w:eastAsia="es-AR" w:bidi="es-AR"/>
        </w:rPr>
      </w:pPr>
      <w:r>
        <w:rPr>
          <w:lang w:val="es-AR" w:eastAsia="es-AR" w:bidi="es-AR"/>
        </w:rPr>
        <w:t xml:space="preserve">En fecha 18-12-2025 se dicta el llamamiento de autos para sentencia, providencia que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Cuestiona la quejosa la conclusión del juez de grado en torno a la existencia de dominio en cabeza de la titular registral, sosteniendo que se ha efectuado una incorrecta aplicación de la teoría del “título y modo”.-</w:t>
      </w:r>
    </w:p>
    <w:p>
      <w:pPr>
        <w:pStyle w:val="[Normal]"/>
        <w:spacing w:line="360" w:lineRule="auto"/>
        <w:ind w:firstLine="1134"/>
        <w:jc w:val="both"/>
        <w:rPr>
          <w:lang w:val="es-AR" w:eastAsia="es-AR" w:bidi="es-AR"/>
        </w:rPr>
      </w:pPr>
      <w:r>
        <w:rPr>
          <w:lang w:val="es-AR" w:eastAsia="es-AR" w:bidi="es-AR"/>
        </w:rPr>
        <w:t xml:space="preserve">Afirma que, aun cuando Inocencia Adelina Rojas pudiera haber contado con título suficiente, nunca habría recibido la tradición del inmueble ni ejercido actos posesorios, por lo que carecería del “modo” exigido por los arts. 750 y 1892 del CCCN.-</w:t>
      </w:r>
    </w:p>
    <w:p>
      <w:pPr>
        <w:pStyle w:val="[Normal]"/>
        <w:spacing w:line="360" w:lineRule="auto"/>
        <w:ind w:firstLine="1134"/>
        <w:jc w:val="both"/>
        <w:rPr>
          <w:lang w:val="es-AR" w:eastAsia="es-AR" w:bidi="es-AR"/>
        </w:rPr>
      </w:pPr>
      <w:r>
        <w:rPr>
          <w:lang w:val="es-AR" w:eastAsia="es-AR" w:bidi="es-AR"/>
        </w:rPr>
        <w:t xml:space="preserve">Se agravia por la valoración de la prueba efectuada por el a quo. Sostiene que el magistrado reconoció parcialmente la existencia de actos posesorios del actor, pero luego los desestimó de manera fragmentaria e incongruente, sin atender a la totalidad y concordancia del material probatorio. </w:t>
      </w:r>
    </w:p>
    <w:p>
      <w:pPr>
        <w:pStyle w:val="[Normal]"/>
        <w:spacing w:line="360" w:lineRule="auto"/>
        <w:ind w:firstLine="1134"/>
        <w:jc w:val="both"/>
        <w:rPr>
          <w:lang w:val="es-AR" w:eastAsia="es-AR" w:bidi="es-AR"/>
        </w:rPr>
      </w:pPr>
      <w:r>
        <w:rPr>
          <w:lang w:val="es-AR" w:eastAsia="es-AR" w:bidi="es-AR"/>
        </w:rPr>
        <w:t xml:space="preserve">Destaca la prueba testimonial y documental que -a su entender- acredita una posesión pública, pacífica, continua e ininterrumpida, con ánimo de dueño, desde larga data, así como la realización de mejoras, pago de impuestos y servicios, y demás actos típicos de señorío sobre la cosa.-</w:t>
      </w:r>
    </w:p>
    <w:p>
      <w:pPr>
        <w:pStyle w:val="[Normal]"/>
        <w:spacing w:line="360" w:lineRule="auto"/>
        <w:ind w:firstLine="1134"/>
        <w:jc w:val="both"/>
        <w:rPr>
          <w:lang w:val="es-AR" w:eastAsia="es-AR" w:bidi="es-AR"/>
        </w:rPr>
      </w:pPr>
      <w:r>
        <w:rPr>
          <w:lang w:val="es-AR" w:eastAsia="es-AR" w:bidi="es-AR"/>
        </w:rPr>
        <w:t xml:space="preserve">Señala una indebida confusión entre titularidad registral y posesión efectiva. Refiere que el reconocimiento efectuado en un proceso de divorcio respecto de la titularidad del bien no implica admitir la posesión en cabeza de la madre, ni desvirtúa la posesión invocada “iure propio”.</w:t>
      </w:r>
    </w:p>
    <w:p>
      <w:pPr>
        <w:pStyle w:val="[Normal]"/>
        <w:spacing w:line="360" w:lineRule="auto"/>
        <w:ind w:firstLine="1134"/>
        <w:jc w:val="both"/>
        <w:rPr>
          <w:lang w:val="es-AR" w:eastAsia="es-AR" w:bidi="es-AR"/>
        </w:rPr>
      </w:pPr>
      <w:r>
        <w:rPr>
          <w:lang w:val="es-AR" w:eastAsia="es-AR" w:bidi="es-AR"/>
        </w:rPr>
        <w:t xml:space="preserve"> Enfatiza que los demandados no acreditaron actos posesorios ni hechos interruptivos del plazo prescriptivo, limitándose a invocar la inscripción registral.-</w:t>
      </w:r>
    </w:p>
    <w:p>
      <w:pPr>
        <w:pStyle w:val="[Normal]"/>
        <w:spacing w:line="360" w:lineRule="auto"/>
        <w:ind w:firstLine="1134"/>
        <w:jc w:val="both"/>
        <w:rPr>
          <w:lang w:val="es-AR" w:eastAsia="es-AR" w:bidi="es-AR"/>
        </w:rPr>
      </w:pPr>
      <w:r>
        <w:rPr>
          <w:lang w:val="es-AR" w:eastAsia="es-AR" w:bidi="es-AR"/>
        </w:rPr>
        <w:t xml:space="preserve">Se queja de la decisión relativa a la legitimación pasiva, sosteniendo que la integración de la litis fue correcta en función de la situación de los eventuales herederos, y que no correspondía demandar a quien no había acreditado tal carácter.-</w:t>
      </w:r>
    </w:p>
    <w:p>
      <w:pPr>
        <w:pStyle w:val="[Normal]"/>
        <w:spacing w:line="360" w:lineRule="auto"/>
        <w:ind w:firstLine="1134"/>
        <w:jc w:val="both"/>
        <w:rPr>
          <w:lang w:val="es-AR" w:eastAsia="es-AR" w:bidi="es-AR"/>
        </w:rPr>
      </w:pPr>
      <w:r>
        <w:rPr>
          <w:lang w:val="es-AR" w:eastAsia="es-AR" w:bidi="es-AR"/>
        </w:rPr>
        <w:t xml:space="preserve">Por otra parte, critica la supuesta omisión de valorar la inacción prolongada de la titular registral, así como la exigencia de detalles irrelevantes sobre el origen de la ocupación, destacando que la pretensión se funda en la posesión prolongada y no en un negocio jurídico traslativo.-</w:t>
      </w:r>
    </w:p>
    <w:p>
      <w:pPr>
        <w:pStyle w:val="[Normal]"/>
        <w:spacing w:line="360" w:lineRule="auto"/>
        <w:ind w:firstLine="1134"/>
        <w:jc w:val="both"/>
        <w:rPr>
          <w:lang w:val="es-AR" w:eastAsia="es-AR" w:bidi="es-AR"/>
        </w:rPr>
      </w:pPr>
      <w:r>
        <w:rPr>
          <w:lang w:val="es-AR" w:eastAsia="es-AR" w:bidi="es-AR"/>
        </w:rPr>
        <w:t xml:space="preserve">Finalmente, invoca el fin social del instituto de la prescripción adquisitiva, señalando que su rechazo implicaría privilegiar una titularidad meramente formal en desmedro de quien habría ejercido durante años la posesión efectiva del inmueble.-</w:t>
      </w:r>
    </w:p>
    <w:p>
      <w:pPr>
        <w:pStyle w:val="[Normal]"/>
        <w:spacing w:line="360" w:lineRule="auto"/>
        <w:ind w:firstLine="1134"/>
        <w:jc w:val="both"/>
        <w:rPr>
          <w:lang w:val="es-AR" w:eastAsia="es-AR" w:bidi="es-AR"/>
        </w:rPr>
      </w:pPr>
      <w:r>
        <w:rPr>
          <w:lang w:val="es-AR" w:eastAsia="es-AR" w:bidi="es-AR"/>
        </w:rPr>
        <w:t xml:space="preserve">En función de todo ello, solicita la revocación de la sentencia apelada y el acogimiento de la demanda de prescripción adquisitiva.-</w:t>
      </w:r>
    </w:p>
    <w:p>
      <w:pPr>
        <w:pStyle w:val="[Normal]"/>
        <w:spacing w:line="360" w:lineRule="auto"/>
        <w:ind w:firstLine="1134"/>
        <w:jc w:val="both"/>
        <w:rPr>
          <w:lang w:val="es-AR" w:eastAsia="es-AR" w:bidi="es-AR"/>
        </w:rPr>
      </w:pPr>
      <w:r>
        <w:rPr>
          <w:lang w:val="es-AR" w:eastAsia="es-AR" w:bidi="es-AR"/>
        </w:rPr>
        <w:t xml:space="preserve">A su turno, los demandados rebaten los argumentos expuestos por la accionante y solicitan se confirme el fallo con costas.-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Entrando a resolver, cabe señalar que la cuestión traída a conocimiento de esta Alzada se circunscribe a determinar si se encuentran reunidos los extremos necesarios para la procedencia de la prescripción adquisitiva invocada.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esta materia, el examen debe enmarcarse -como lo ha señalado reiteradamente la Suprema Corte de Justicia de la Provincia- en un criterio estricto y riguroso, atento la trascendencia económico-social del instituto, exigiéndose prueba concluyente de los hechos en que se funda (SCBA, causas C 98364, 11/03/2009; C 98183, 11/11/2009).</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El apelante cuestiona la valoración probatoria efectuada en la instancia de origen, insistiendo en que habría ejercido una posesión exclusiva con ánimo de dueño.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Sin embargo, corresponde recordar que la escritura pública traslativa de dominio constituye título suficiente y genera una presunción iuris tantum de posesión en cabeza de quien adquiere, en tanto la tradición suele verificarse como consecuencia del acto escriturario, salvo prueba concreta y convincente en contrario.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el caso, dicha presunción no ha sido eficazmente desvirtuada. La mera negación de la tradición no resulta suficiente, incumbiendo a quien la invoca acreditar de modo inequívoco que la titular registral nunca ejerció la posesión, extremo que no surge acreditado.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Al respecto se ha dicho jurisprudencialmente "</w:t>
      </w:r>
      <w:r>
        <w:rPr>
          <w:rFonts w:ascii="Arial" w:hAnsi="Arial" w:eastAsia="Arial" w:cs="Arial"/>
          <w:i/>
          <w:sz w:val="24"/>
          <w:lang w:val="es-AR" w:eastAsia="es-AR" w:bidi="es-AR"/>
        </w:rPr>
        <w:t xml:space="preserve">...tratándose la usucapión de un modo excepcional de adquirir la propiedad, la prueba debe ser concluyente, reuniendo condiciones sustanciales de exactitud, precisión y claridad, y las pautas para su apreciación estrictas, exigiéndose apoyo formal, serio y convincente, respecto a la posesión del ánimus domini y a su antigüedad" </w:t>
      </w:r>
      <w:r>
        <w:rPr>
          <w:rFonts w:ascii="Arial" w:hAnsi="Arial" w:eastAsia="Arial" w:cs="Arial"/>
          <w:sz w:val="24"/>
          <w:lang w:val="es-AR" w:eastAsia="es-AR" w:bidi="es-AR"/>
        </w:rPr>
        <w:t xml:space="preserve">(CAP Exptes. C- 1196/93; C-1158/93; C-5031-23).- </w:t>
      </w:r>
    </w:p>
    <w:p>
      <w:pPr>
        <w:pStyle w:val="Normal"/>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Desde esa perspectiva, los elementos probatorios reunidos no permiten tener por configurada una posesión exclusiva, pública y excluyente. Antes bien, los hechos acreditados resultan compatibles con una situación de convivencia familiar y eventual coposesión, lo cual obsta al progreso de la acción.</w:t>
      </w:r>
    </w:p>
    <w:p>
      <w:pPr>
        <w:pStyle w:val="Normal"/>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efecto, la prueba testimonial da cuenta de la ocupación del inmueble por el actor, pero también de la convivencia con otros integrantes del grupo familiar, incluida la titular registral antes de su fallecimiento. Tal circunstancia resulta incompatible con el ejercicio de una posesión excluyente en los términos exigidos por la ley.</w:t>
      </w:r>
    </w:p>
    <w:p>
      <w:pPr>
        <w:pStyle w:val="Normal"/>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lo que respecta al pago de impuestos y servicios el actor adjunta plan de regularización de rentas de los años 2002 a 2006, recibos de pago de la Cooperativa Eléctrica de los años 1999, 2000, 2001, 2002, 2006, 2007, 2012, 2016, 2017 y 2020; recibos de pagos de Litoral Gas por los años 2000, 2001, 2002, 2003, 2004, 2005, 2006, 2007, 2019 y 2020; y por último un plan de regularización de la Tasa de Limpieza que abarcan los periodos comprendidos entre los años 2010 a 2015.-</w:t>
      </w:r>
    </w:p>
    <w:p>
      <w:pPr>
        <w:pStyle w:val="Normal"/>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Se ha dicho "</w:t>
      </w:r>
      <w:r>
        <w:rPr>
          <w:rFonts w:ascii="Arial" w:hAnsi="Arial" w:eastAsia="Arial" w:cs="Arial"/>
          <w:i/>
          <w:sz w:val="24"/>
          <w:lang w:val="es-AR" w:eastAsia="es-AR" w:bidi="es-AR"/>
        </w:rPr>
        <w:t xml:space="preserve">En materia de usucapión, el pago de impuestos no constituye un acto posesorio y por ende, nada prueba con relación al corpus posesorio. Los actos posesorios comportan un ejercicio efectivo del señorío sobre la cosa, y presuponen un contacto inmediato del sujeto con el objeto. Se ha señalado que se pueden pagar los impuestos y tasas sin tener el corpus posesorio"</w:t>
      </w:r>
      <w:r>
        <w:rPr>
          <w:rFonts w:ascii="Arial" w:hAnsi="Arial" w:eastAsia="Arial" w:cs="Arial"/>
          <w:sz w:val="24"/>
          <w:lang w:val="es-AR" w:eastAsia="es-AR" w:bidi="es-AR"/>
        </w:rPr>
        <w:t xml:space="preserve"> (CC0102 MP 166580 82-S S 10/04/2019 JUBA B5060195) y </w:t>
      </w:r>
      <w:r>
        <w:rPr>
          <w:rFonts w:ascii="Arial" w:hAnsi="Arial" w:eastAsia="Arial" w:cs="Arial"/>
          <w:i/>
          <w:sz w:val="24"/>
          <w:lang w:val="es-AR" w:eastAsia="es-AR" w:bidi="es-AR"/>
        </w:rPr>
        <w:t xml:space="preserve">"El pago de servicios por sí solo no es suficiente para tener por adquirido el dominio por usucapión, dándose especial consideración al pago de impuestos y tasas que graven al inmueble (art. 24 ley 14.159)"</w:t>
      </w:r>
      <w:r>
        <w:rPr>
          <w:rFonts w:ascii="Arial" w:hAnsi="Arial" w:eastAsia="Arial" w:cs="Arial"/>
          <w:sz w:val="24"/>
          <w:lang w:val="es-AR" w:eastAsia="es-AR" w:bidi="es-AR"/>
        </w:rPr>
        <w:t xml:space="preserve"> (CC0202 LP 125323 RSD 170/19 S 01/07/2019 JUBA B5062579).-</w:t>
      </w:r>
    </w:p>
    <w:p>
      <w:pPr>
        <w:pStyle w:val="Normal"/>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Entonces se advierte que si bien tales elementos pueden constituir indicios del animus domini, cierto es que por sí solos no resultan adecuados para acreditar el corpus posesorio. Además, el lapso temporal invocado no resulta suficiente para tener por configurado dicho extremo.-</w:t>
      </w:r>
    </w:p>
    <w:p>
      <w:pPr>
        <w:pStyle w:val="[Normal]"/>
        <w:spacing w:line="360" w:lineRule="auto"/>
        <w:ind w:firstLine="850"/>
        <w:jc w:val="both"/>
        <w:rPr>
          <w:lang w:val="es-AR" w:eastAsia="es-AR" w:bidi="es-AR"/>
        </w:rPr>
      </w:pPr>
      <w:r>
        <w:rPr>
          <w:lang w:val="es-AR" w:eastAsia="es-AR" w:bidi="es-AR"/>
        </w:rPr>
        <w:t xml:space="preserve">Por otra parte, la procedencia de la usucapión en el caso exigía, además, la acreditación de la interversión del título, en tanto la relación originaria con la cosa no revestía carácter exclusivo. Sobre este aspecto, no sólo no se ha producido prueba suficiente, sino que tampoco se advierte un agravio eficaz dirigido a controvertir el fundamento central desarrollado por el magistrado de grado, lo que sella adversamente la suerte del recurso en este punto.</w:t>
      </w:r>
    </w:p>
    <w:p>
      <w:pPr>
        <w:pStyle w:val="[Normal]"/>
        <w:spacing w:line="360" w:lineRule="auto"/>
        <w:ind w:firstLine="1134"/>
        <w:jc w:val="both"/>
        <w:rPr>
          <w:b/>
          <w:lang w:val="es-AR" w:eastAsia="es-AR" w:bidi="es-AR"/>
        </w:rPr>
      </w:pPr>
      <w:r>
        <w:rPr>
          <w:lang w:val="es-AR" w:eastAsia="es-AR" w:bidi="es-AR"/>
        </w:rPr>
        <w:t xml:space="preserve">Se ha expuesto en ese sentido que: </w:t>
      </w:r>
      <w:r>
        <w:rPr>
          <w:i/>
          <w:lang w:val="es-AR" w:eastAsia="es-AR" w:bidi="es-AR"/>
        </w:rPr>
        <w:t xml:space="preserve">“La usucapión entre condóminos exige la exteriorización de la intención de poseer de forma exclusiva respecto de los demás propietarios, ello así porque los derechos que otorga el condominio sobre la cosa pueden confundirse con la posesión ejercida sobre la totalidad del inmueble, por lo que quien pretende adquirir debe probar la interversión del título originario mediante el cual comenzó a poseer el inmueble y dicha prueba requiere especial rigor en su apreciación por parte del juzgador" </w:t>
      </w:r>
      <w:r>
        <w:rPr>
          <w:lang w:val="es-AR" w:eastAsia="es-AR" w:bidi="es-AR"/>
        </w:rPr>
        <w:t xml:space="preserve">(CC0002 AZ 70546 RR-222-2023 S 29/11/2023 JUBA B5090017).-</w:t>
      </w:r>
    </w:p>
    <w:p>
      <w:pPr>
        <w:pStyle w:val="[Normal]"/>
        <w:spacing w:line="360" w:lineRule="auto"/>
        <w:ind w:firstLine="850"/>
        <w:jc w:val="both"/>
        <w:rPr>
          <w:lang w:val="es-AR" w:eastAsia="es-AR" w:bidi="es-AR"/>
        </w:rPr>
      </w:pPr>
      <w:r>
        <w:rPr>
          <w:lang w:val="es-AR" w:eastAsia="es-AR" w:bidi="es-AR"/>
        </w:rPr>
        <w:t xml:space="preserve"> En efecto, a los fines de la procedencia de la usucapión, los actos posesorios que el condómino invoque como fundamento de su pretensión deben revestir un carácter inequívoco, ostensible y excluyente, de modo tal que permitan descartar, sin hesitación, la hipótesis de un simple reparto, tolerancia o ejercicio concurrente del uso de la cosa común entre los copropietarios.</w:t>
      </w:r>
    </w:p>
    <w:p>
      <w:pPr>
        <w:pStyle w:val="[Normal]"/>
        <w:spacing w:line="360" w:lineRule="auto"/>
        <w:ind w:firstLine="850"/>
        <w:jc w:val="both"/>
        <w:rPr>
          <w:lang w:val="es-AR" w:eastAsia="es-AR" w:bidi="es-AR"/>
        </w:rPr>
      </w:pPr>
      <w:r>
        <w:rPr>
          <w:lang w:val="es-AR" w:eastAsia="es-AR" w:bidi="es-AR"/>
        </w:rPr>
        <w:t xml:space="preserve">Frente a tal constatación, el accionante no sólo debió acreditar la posesión veinteñal conforme los estándares previstos por la ley, sino que también tenía la carga de probar la interversión del título tal y como lo señalase el a quo en la sentencia apelada, y sobre la cuál, no ha efectuado argumentación alguna que contrarreste la objeciones expuestas por el magistrado de grado.-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En definitiva, no se acredita una posesión exclusiva, pública y excluyente, sino una situación compatible con la convivencia familiar y eventual coposesión.-</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Times New Roman" w:hAnsi="Times New Roman" w:eastAsia="Times New Roman" w:cs="Times New Roman"/>
          <w:sz w:val="24"/>
          <w:lang w:val="es-AR" w:eastAsia="es-AR" w:bidi="es-AR"/>
        </w:rPr>
      </w:pPr>
      <w:r>
        <w:rPr>
          <w:rFonts w:ascii="Arial" w:hAnsi="Arial" w:eastAsia="Arial" w:cs="Arial"/>
          <w:sz w:val="24"/>
          <w:lang w:val="es-AR" w:eastAsia="es-AR" w:bidi="es-AR"/>
        </w:rPr>
        <w:t xml:space="preserve">Debo poner de resalto, que la prescripción adquisitiva pretendida se sustancia entre el señor Jorge Domingo Moreno (actor) y Carlos Damián, Elida Fernanda y Jose Alberto Moreno y Elida Otilia Lacuadra, en carácter de herederos de su hermano Jose Manuel Moreno.-</w:t>
      </w:r>
    </w:p>
    <w:p>
      <w:pPr>
        <w:pStyle w:val="[Normal]"/>
        <w:spacing w:line="360" w:lineRule="auto"/>
        <w:ind w:firstLine="1134"/>
        <w:jc w:val="both"/>
        <w:rPr>
          <w:lang w:val="es-AR" w:eastAsia="es-AR" w:bidi="es-AR"/>
        </w:rPr>
      </w:pPr>
      <w:r>
        <w:rPr>
          <w:lang w:val="es-AR" w:eastAsia="es-AR" w:bidi="es-AR"/>
        </w:rPr>
        <w:t xml:space="preserve">Al respecto, la Corte Provincial ha suscripto al temperamento restrictivo en la valoración de los elementos constitutivos de la posesión cuando la usucapión se proyecta sobre inmuebles pertenecientes a familiares: </w:t>
      </w:r>
      <w:r>
        <w:rPr>
          <w:i/>
          <w:lang w:val="es-AR" w:eastAsia="es-AR" w:bidi="es-AR"/>
        </w:rPr>
        <w:t xml:space="preserve">"En los casos de pretendida usucapión sobre inmuebles de titularidad de familiares, resulta lógico extremar los recaudos en la apreciación de la prueba que intenta justificar el comienzo de la posesión excluyente del inmueble, para que la loable solidaridad familiar no se castigue con el despojo"</w:t>
      </w:r>
      <w:r>
        <w:rPr>
          <w:lang w:val="es-AR" w:eastAsia="es-AR" w:bidi="es-AR"/>
        </w:rPr>
        <w:t xml:space="preserve"> (SCBA, Lopreiato, Víctor Mario c/Gauna, Andrés y otros s/Reivindicación, 28/12/2010).-</w:t>
      </w:r>
    </w:p>
    <w:p>
      <w:pPr>
        <w:pStyle w:val="[Normal]"/>
        <w:spacing w:line="360" w:lineRule="auto"/>
        <w:ind w:firstLine="1134"/>
        <w:jc w:val="both"/>
        <w:rPr>
          <w:lang w:val="es-AR" w:eastAsia="es-AR" w:bidi="es-AR"/>
        </w:rPr>
      </w:pPr>
      <w:r>
        <w:rPr>
          <w:lang w:val="es-AR" w:eastAsia="es-AR" w:bidi="es-AR"/>
        </w:rPr>
        <w:t xml:space="preserve">Finalmente, en cuanto a la legitimación pasiva, comparto los fundamentos del juez de grado. Aun cuando la señora Norma Moreno no hubiera sido incluida en la declaratoria de herederos, surge de las constancias del expediente sucesorio que el propio actor conocía su existencia y vocación hereditaria, por lo que correspondía dirigir también contra ella la acción. En todo caso, aun de asistirle razón parcial a la apelante, ello carece de aptitud para modificar la solución del caso.</w:t>
      </w:r>
    </w:p>
    <w:p>
      <w:pPr>
        <w:pStyle w:val="[Normal]"/>
        <w:spacing w:line="360" w:lineRule="auto"/>
        <w:ind w:firstLine="1134"/>
        <w:jc w:val="both"/>
        <w:rPr>
          <w:lang w:val="es-AR" w:eastAsia="es-AR" w:bidi="es-AR"/>
        </w:rPr>
      </w:pPr>
      <w:r>
        <w:rPr>
          <w:lang w:val="es-AR" w:eastAsia="es-AR" w:bidi="es-AR"/>
        </w:rPr>
        <w:t xml:space="preserve">En efecto, surge de las constancias del expediente sucesorio N° 62.074, caratulado “Rojas, Inocencia Adelina s/ sucesión ab intestato” -visualizado a través de la MEV- que el señor Jorge Moreno se presentó en autos junto con Norma Moreno con fecha 15-07-2019 manifestando expresamente: “</w:t>
      </w:r>
      <w:r>
        <w:rPr>
          <w:i/>
          <w:lang w:val="es-AR" w:eastAsia="es-AR" w:bidi="es-AR"/>
        </w:rPr>
        <w:t xml:space="preserve">Que venimos a presentarnos en carácter de hijos legítimos de la causante Doña Inocencia Adelina Rojas, conforme las actas de nacimiento adjuntas, ambos hijos de Don José Gregorio Moreno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tal contexto, resultaba exigible dirigir también contra ella la acción, no siendo dicha omisión susceptible de ser subsanada en esta instancia. En todo caso, aun de asistirle razón parcial a la apelante, ello carece de aptitud para modificar la solución del caso.</w:t>
      </w:r>
    </w:p>
    <w:p>
      <w:pPr>
        <w:pStyle w:val="[Normal]"/>
        <w:spacing w:line="360" w:lineRule="auto"/>
        <w:ind w:firstLine="1134"/>
        <w:jc w:val="both"/>
        <w:rPr>
          <w:lang w:val="es-AR" w:eastAsia="es-AR" w:bidi="es-AR"/>
        </w:rPr>
      </w:pPr>
      <w:r>
        <w:rPr>
          <w:lang w:val="es-AR" w:eastAsia="es-AR" w:bidi="es-AR"/>
        </w:rPr>
        <w:t xml:space="preserve">Por todo lo expuesto, no se acredita en autos una posesión pública, pacífica, continua y, fundamentalmente, exclusiva y excluyente durante el plazo legal, sino una situación compatible con la convivencia familiar y eventual coposesión, lo cual obsta al progreso de la acción.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la sentencia atacada.-</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la sentencia atacada.-</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21/04/2026 10:22:44 -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21/04/2026 10:39:46 -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21/04/2026 10:43:25 -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‰8$")è&amp;r-ZlŠ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240402090006821358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21/04/2026 10:44:17 hs. bajo el número RS-57-2026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