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w:t>
      </w:r>
      <w:r>
        <w:rPr>
          <w:b/>
          <w:lang w:val="es-AR" w:eastAsia="es-AR" w:bidi="es-AR"/>
        </w:rPr>
        <w:t xml:space="preserve"> </w:t>
      </w: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5957-25</w:t>
      </w:r>
      <w:r>
        <w:rPr>
          <w:lang w:val="es-AR" w:eastAsia="es-AR" w:bidi="es-AR"/>
        </w:rPr>
        <w:t xml:space="preserve">  caratulada </w:t>
      </w:r>
      <w:r>
        <w:rPr>
          <w:b/>
          <w:lang w:val="es-AR" w:eastAsia="es-AR" w:bidi="es-AR"/>
        </w:rPr>
        <w:t xml:space="preserve">"</w:t>
      </w:r>
      <w:r>
        <w:rPr>
          <w:b/>
          <w:color w:val="000000"/>
          <w:lang w:val="es-AR" w:eastAsia="es-AR" w:bidi="es-AR"/>
        </w:rPr>
        <w:t xml:space="preserve">MILLUZZO PABLO Y OTRO/A C/ RIO URUGUAY SEGUROS  Y OTROS S/ DAÑOS Y PERJ. AUTOM. S/LESIONES (EXC. ESTADO)</w:t>
      </w:r>
      <w:r>
        <w:rPr>
          <w:b/>
          <w:lang w:val="es-AR" w:eastAsia="es-AR" w:bidi="es-AR"/>
        </w:rPr>
        <w:t xml:space="preserve">" </w:t>
      </w:r>
      <w:r>
        <w:rPr>
          <w:lang w:val="es-AR" w:eastAsia="es-AR" w:bidi="es-AR"/>
        </w:rPr>
        <w:t xml:space="preserve">, Expte. n° </w:t>
      </w:r>
      <w:r>
        <w:rPr>
          <w:color w:val="000000"/>
          <w:lang w:val="es-AR" w:eastAsia="es-AR" w:bidi="es-AR"/>
        </w:rPr>
        <w:t xml:space="preserve">78.671</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declaró la inconstitucionalidad sobrevenida de los arts. 7 y 10 de la ley 23.928, según ley 25.561, del mismo modo que su inaplicabilidad al caso, a fin de disponer una equitativa actualización del crédito adeudado.  Hizo lugar a la demanda incoada y, en consecuencia, condenó a la parte demandada y la citada en garantía, Sr. Marcelo Alejandro Ubilla, Sr. Emmanuel Figgini, Sra. Liliana Noemí Ali y Río Uruguay Seguros Cooperativa Limitada, a abonar la parte actora, Sr. Pablo Milluzzo y el Sr. Nahuel Martín Milluzzo, dentro de los diez (10) días de notificada la presente, la suma de Pesos CINCO MILLONES TRESCIENTOS SESENTA Y UN MIL CUATROCIENTOS CINCUENTA ($5.361.450) -correspondiendo la suma de $4.951.450 al titular del acoplado marca Petinari ACG 3E dominio GHI-088 Sr. Pablo Milluzzo y la suma de $410.000 al titular del camión Fiat  Iveco dominio EXK-068 Sr. Nahuel Martín Milluzzo-, actualizable según lo dispuesto en el considerando VIII, con más sus respectivos intereses calculados en la forma establecida en el considerando VII, a partir de la fecha del hecho (17/03/2022) y hasta el momento de su efectivo pago (S.C.B.A., Ac. 2078, C-95.720 del 15/09/2010 y L-118615 del 11/03/2015) (art. 768 C.C.C.N.). Aplicó las costas a la parte demandada y a la citada en garantía que resultan vencidas (art. 68 C.P.C.). Difirió la regulación de honorarios de los letrados intervinientes y del perito, hasta que medie firme la respectiva liquidación de intereses y gastos (art. 51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8-8-2025 por el apoderado de la Citada en Garantía, concedido el 13-8-2023 libremente y en efecto suspensivo.  Elevados los autos a esta Alzada con fecha 10-2-2026 se ordenó expresar agravios al apoderado de la Citada en Garantía, quien el 25-2-2026 lo fundo y del mismo el 26-2-2026 traslado a la contraparte. Con fecha 6-3-2026 fue evacuado por la parte actora. El 10-3-2026 luce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quejosa estructura sus agravios sobre tres puntos: a) arbitraria determinación del daño material y violación de las reglas de la sana crítica, b) improcedencia del daño moral por falta de prueba e incorrecta cuantificación del rubro. c) violación del principio de división de poderes defensa de la ley 23.928.-</w:t>
      </w:r>
    </w:p>
    <w:p>
      <w:pPr>
        <w:pStyle w:val="[Normal]"/>
        <w:spacing w:line="360" w:lineRule="auto"/>
        <w:ind w:firstLine="1134"/>
        <w:jc w:val="both"/>
        <w:rPr>
          <w:lang w:val="es-AR" w:eastAsia="es-AR" w:bidi="es-AR"/>
        </w:rPr>
      </w:pPr>
      <w:r>
        <w:rPr>
          <w:lang w:val="es-AR" w:eastAsia="es-AR" w:bidi="es-AR"/>
        </w:rPr>
        <w:t xml:space="preserve">Entrando a resolver liminarmente he de señalar que el daño material viene controvertido en punto al precio en plaza de los presupuestos y/o repuestos que dice no aclarados por el perito, tachando a la pericia de arbitraria y caprichosa, solicitando el apartamiento de la misma.-</w:t>
      </w:r>
    </w:p>
    <w:p>
      <w:pPr>
        <w:pStyle w:val="[Normal]"/>
        <w:spacing w:line="360" w:lineRule="auto"/>
        <w:ind w:firstLine="1134"/>
        <w:jc w:val="both"/>
        <w:rPr>
          <w:lang w:val="es-AR" w:eastAsia="es-AR" w:bidi="es-AR"/>
        </w:rPr>
      </w:pPr>
      <w:r>
        <w:rPr>
          <w:lang w:val="es-AR" w:eastAsia="es-AR" w:bidi="es-AR"/>
        </w:rPr>
        <w:t xml:space="preserve">El operador de grado ha recurrido a la experticia producida por el Perito Oficial Ingeniero Ferretti quien se expide sobre distintos puntos de pericia en relación al siniestro ocurrido el 17 de marzo de 2022 a las 17.30 hs. sobre Avda. Venini (Ruta 188) en proximidades de calle Sargento Cabral de esta ciudad y que diera origen a la reclamación.-</w:t>
      </w:r>
    </w:p>
    <w:p>
      <w:pPr>
        <w:pStyle w:val="[Normal]"/>
        <w:spacing w:line="360" w:lineRule="auto"/>
        <w:ind w:firstLine="1134"/>
        <w:jc w:val="both"/>
        <w:rPr>
          <w:lang w:val="es-AR" w:eastAsia="es-AR" w:bidi="es-AR"/>
        </w:rPr>
      </w:pPr>
      <w:r>
        <w:rPr>
          <w:lang w:val="es-AR" w:eastAsia="es-AR" w:bidi="es-AR"/>
        </w:rPr>
        <w:t xml:space="preserve">En el punto h) recoge los daños descriptos en la IPP a fs. 22 y luego de detallar los mismos señala que los descriptos son compatibles con el siniestro y que los valores de repuesto y mano de obra del presupuesto (de acuerdo al detalle presentado) en pág. 90 a 95 adjunto al presente resultan coherentes y se compadecen con los valores razonables de mercado de los repuestos originales dentro del margen de la fecha citada. Señalando textualmente que el "incremento porcentual promedio de plaza de dichos presupuestos desde la fecha de confección del mismo a la fecha del presente informe está entre un 890% a 900% aproximadamente.  Esta pericia fue ratificada por el experto y ampliada con la presentación de fecha 17/12/2024 en el mismo sentido.-</w:t>
      </w:r>
    </w:p>
    <w:p>
      <w:pPr>
        <w:pStyle w:val="[Normal]"/>
        <w:spacing w:line="360" w:lineRule="auto"/>
        <w:ind w:firstLine="1134"/>
        <w:jc w:val="both"/>
        <w:rPr>
          <w:lang w:val="es-AR" w:eastAsia="es-AR" w:bidi="es-AR"/>
        </w:rPr>
      </w:pPr>
      <w:r>
        <w:rPr>
          <w:lang w:val="es-AR" w:eastAsia="es-AR" w:bidi="es-AR"/>
        </w:rPr>
        <w:t xml:space="preserve">El operador de grado en forma atinada ha tomado este parámetro a fin de determinar el valor actual para resarcir el rubro acudiendo al presupuesto actualizado del perito Oficial que arroja un valor de $ 3.621.078 en fecha 12/11/2024, considerando el proceso inflacionario y la situación del país desde esa fecha hasta la actualidad, fijándolo en la suma de pesos $ 4.383.950.-</w:t>
      </w:r>
    </w:p>
    <w:p>
      <w:pPr>
        <w:pStyle w:val="[Normal]"/>
        <w:spacing w:line="360" w:lineRule="auto"/>
        <w:ind w:firstLine="1134"/>
        <w:jc w:val="both"/>
        <w:rPr>
          <w:lang w:val="es-AR" w:eastAsia="es-AR" w:bidi="es-AR"/>
        </w:rPr>
      </w:pPr>
      <w:r>
        <w:rPr>
          <w:lang w:val="es-AR" w:eastAsia="es-AR" w:bidi="es-AR"/>
        </w:rPr>
        <w:t xml:space="preserve">La queja traída aparece más como un disgusto contra lo que le es adverso que una crítica razonada que venga apoyada en otros elementos que permitan un apartamiento del dictamen pericial (art. 474 del CPCC y su doctrina). No se avisora producción de prueba del quejoso que permita llegar a un resultado distinto (art. 375 del CPCC y su doctrina).-</w:t>
      </w:r>
    </w:p>
    <w:p>
      <w:pPr>
        <w:pStyle w:val="[Normal]"/>
        <w:spacing w:line="360" w:lineRule="auto"/>
        <w:ind w:firstLine="1134"/>
        <w:jc w:val="both"/>
        <w:rPr>
          <w:lang w:val="es-AR" w:eastAsia="es-AR" w:bidi="es-AR"/>
        </w:rPr>
      </w:pPr>
      <w:r>
        <w:rPr>
          <w:lang w:val="es-AR" w:eastAsia="es-AR" w:bidi="es-AR"/>
        </w:rPr>
        <w:t xml:space="preserve">Cuando las conclusiones periciales no son neutralizadas por otras pruebas, no hay razón para apartarse de las mismas tal como lo hizo el operador, confirmando desde aquí el punto en cuestión.-</w:t>
      </w:r>
    </w:p>
    <w:p>
      <w:pPr>
        <w:pStyle w:val="[Normal]"/>
        <w:spacing w:line="360" w:lineRule="auto"/>
        <w:ind w:firstLine="1134"/>
        <w:jc w:val="both"/>
        <w:rPr>
          <w:lang w:val="es-AR" w:eastAsia="es-AR" w:bidi="es-AR"/>
        </w:rPr>
      </w:pPr>
      <w:r>
        <w:rPr>
          <w:lang w:val="es-AR" w:eastAsia="es-AR" w:bidi="es-AR"/>
        </w:rPr>
        <w:t xml:space="preserve">En relación al daño moral (sosteniendo el quejoso que no ha sido probado) reiteradamente ha dicho este Tribunal que este rubro comprende una serie de afecciones que alteran el espíritu del ser humano y que pueden ser molestias en la seguridad personal, molestias en el goce de los bienes y ataque a las afecciones legítimas, como así también en el ejercicio de facultades humanas sean laborales o de otra índole en tanto ello repercuta negativamente en la esfera espiritual del afectado.-</w:t>
      </w:r>
    </w:p>
    <w:p>
      <w:pPr>
        <w:pStyle w:val="[Normal]"/>
        <w:spacing w:line="360" w:lineRule="auto"/>
        <w:ind w:firstLine="1134"/>
        <w:jc w:val="both"/>
        <w:rPr>
          <w:lang w:val="es-AR" w:eastAsia="es-AR" w:bidi="es-AR"/>
        </w:rPr>
      </w:pPr>
      <w:r>
        <w:rPr>
          <w:lang w:val="es-AR" w:eastAsia="es-AR" w:bidi="es-AR"/>
        </w:rPr>
        <w:t xml:space="preserve">"... Las sumas indemnizatorias en concepto de daño moral no está sujeta a reglas fijas, su determinación depende del arbitrio judicial para lo cual basta la certeza de que ha existido, sin que sea necesaria otra precisión y no requiere prueba específica alguna cuando ha de tenérselo por demostrado por el solo hecho de la acción antijurídica -daño in re ipsa- y es al responsable del hecho dañoso a quien incumbe acreditar la existencia de una situación objetiva que excluya la posibilidad de un daño moral..." (CC0202 LP 125198 157 S 24/06/2019, SCBA LP C 121424 S 29/05/2019,  SCBA LP C 94847 S 29/04/2009).-</w:t>
      </w:r>
    </w:p>
    <w:p>
      <w:pPr>
        <w:pStyle w:val="[Normal]"/>
        <w:spacing w:line="360" w:lineRule="auto"/>
        <w:ind w:firstLine="1134"/>
        <w:jc w:val="both"/>
        <w:rPr>
          <w:lang w:val="es-AR" w:eastAsia="es-AR" w:bidi="es-AR"/>
        </w:rPr>
      </w:pPr>
      <w:r>
        <w:rPr>
          <w:lang w:val="es-AR" w:eastAsia="es-AR" w:bidi="es-AR"/>
        </w:rPr>
        <w:t xml:space="preserve">Así las cosas, probado el hecho antijurídico, le incumbía a la parte demandada acreditar la inexistencia del mismo lo que no ha acaecido (art. 375 del CPC.) y con ello la procedencia del reclamo (art. 1741 C.C.C.).-</w:t>
      </w:r>
    </w:p>
    <w:p>
      <w:pPr>
        <w:pStyle w:val="[Normal]"/>
        <w:spacing w:line="360" w:lineRule="auto"/>
        <w:ind w:firstLine="1134"/>
        <w:jc w:val="both"/>
        <w:rPr>
          <w:lang w:val="es-AR" w:eastAsia="es-AR" w:bidi="es-AR"/>
        </w:rPr>
      </w:pPr>
      <w:r>
        <w:rPr>
          <w:lang w:val="es-AR" w:eastAsia="es-AR" w:bidi="es-AR"/>
        </w:rPr>
        <w:t xml:space="preserve">"...  Cabe partir de la doctrina de la Suprema Corte provincial de que el daño moral “constituye toda modificación disvaliosa del espíritu, es su alteración no subsumible sólo en el dolor, ya que puede consistir en profundas preocupaciones, estados de aguda irritación, que exceden lo que por el sentido amplio de dolor se entiende, afectando el equilibrio anímico de la persona sobre el cual los demás no pueden avanzar; de manera que todo cambio disvalioso del bienestar psicofísico de una persona por una acción atribuible a otra configura un daño moral” (S.C.B.A. Ac. L55728, 19/9/95, “Toledo”, A. y S. 1995 III,635; Ac.53110, 20/9/94, “Colman”, D.J.B.A. 147-299, J.A. 1995-III-183, A. y S. 1994-III-737; esta Sala, causas n° 45.193, sent. del 25-2-03, "Santillán …"; n° 47.417, del 28/10/04, “Escobar …”; n° 54.862, 23/03/11, “Miranda …” y nº 57.332, 29.08.13, “Moyano de Córica …”).     La Corte Nacional en la causa “Baeza” receptó la posición doctrinal y jurisprudencial que califica al daño moral como el  “precio del consuelo” y que considera que para su cuantificación puede acudirse al dinero y a otros bienes materiales como medio para obtener satisfacciones y contentamientos que mitiguen el perjuicio extrapatrimonial o moral sufrido (C.S., 12/4/2011 “Baeza, Silvia Ofelia c/ Buenos Aires, Provincia de y otros s/ Daños y Perjuicios”, con mi nota en R.C.y S. 2011-XII, 259). “Se trata -sostuvo- de compensar, en la medida posible, un daño consumado … El dinero es un medio de obtener satisfacción, goces y distracciones para restablecer el equilibrio en los bienes extrapatrimoniales”. Este parámetro interpretativo -que es recogido por el art. 1741 CCCN-, ha sido anteriormente receptado en antecedentes de esta Sala (conf. causas n° 51.466, “A., H.”, del 29/04/08; nº 51.467, “G. de S., M.”, del 29/04/08 y nº 54.530, “Torres …”, del 23/08/11).  El rubro daño moral o extrapatrimonial o no patrimonial indemnizable es el comprensivo de todos los detrimentos espirituales no incapacitantes del actor, el dolor, las aflicciones, los padecimientos, que provocan malestar grave y que alteran la estructura de los pensamientos, emociones y sentimientos (arts. 1078 CC y 1741 CCCN; esta Sala, sentencia única recaída en causas nº 61.417, “Latu …” y nº 61.459, “Corradi …”, del 07/03/2017) .." (CC0002 AZ Causa nº: 2-62567-2017 ).-</w:t>
      </w:r>
    </w:p>
    <w:p>
      <w:pPr>
        <w:pStyle w:val="[Normal]"/>
        <w:spacing w:line="360" w:lineRule="auto"/>
        <w:ind w:firstLine="1134"/>
        <w:jc w:val="both"/>
        <w:rPr>
          <w:lang w:val="es-AR" w:eastAsia="es-AR" w:bidi="es-AR"/>
        </w:rPr>
      </w:pPr>
      <w:r>
        <w:rPr>
          <w:lang w:val="es-AR" w:eastAsia="es-AR" w:bidi="es-AR"/>
        </w:rPr>
        <w:t xml:space="preserve">Desde esta base y teniendo particularmente en cuenta la dificultad de la cuantificación del daño moral, la suma dada se entiende como justa y desde aquí se confirma.-</w:t>
      </w:r>
    </w:p>
    <w:p>
      <w:pPr>
        <w:pStyle w:val="[Normal]"/>
        <w:spacing w:line="360" w:lineRule="auto"/>
        <w:ind w:firstLine="1134"/>
        <w:jc w:val="both"/>
        <w:rPr>
          <w:lang w:val="es-AR" w:eastAsia="es-AR" w:bidi="es-AR"/>
        </w:rPr>
      </w:pPr>
      <w:r>
        <w:rPr>
          <w:lang w:val="es-AR" w:eastAsia="es-AR" w:bidi="es-AR"/>
        </w:rPr>
        <w:t xml:space="preserve">Respecto de la queja que viene asentada sobre la improcedencia de la declaración de inconstitucionalidad del art. 7 de la ley 23.928 por cuanto la aplicación de los criterios que emergen del precedente “Barrios” de la Suprema Corte provincial importaría una indebida intromisión del Poder Judicial en la esfera propia de los otros poderes del Estado.-</w:t>
      </w:r>
    </w:p>
    <w:p>
      <w:pPr>
        <w:pStyle w:val="[Normal]"/>
        <w:spacing w:line="360" w:lineRule="auto"/>
        <w:ind w:firstLine="1134"/>
        <w:jc w:val="both"/>
        <w:rPr>
          <w:lang w:val="es-AR" w:eastAsia="es-AR" w:bidi="es-AR"/>
        </w:rPr>
      </w:pPr>
      <w:r>
        <w:rPr>
          <w:lang w:val="es-AR" w:eastAsia="es-AR" w:bidi="es-AR"/>
        </w:rPr>
        <w:t xml:space="preserve">El planteo parte de una premisa que, a mi juicio, no es correcta. La doctrina sentada por la Suprema Corte en la causa C. 124.096, “Barrios, Héctor Francisco y otra c/ Lascano, Sandra Beatriz y otra s/ daños y perjuicios”, sent. del 17-IV-2024, no supone que los jueces asuman la dirección de la política monetaria, sustituyan al legislador en la regulación general de las obligaciones dinerarias o deroguen, con efectos generales, las previsiones de los arts. 7 y 10 de la ley 23.928.  Lo decidido allí se inscribe en el ejercicio propio del control de constitucionalidad que corresponde a los órganos jurisdiccionales cuando, en el marco de un caso concreto, la aplicación de una norma conduce a un resultado incompatible con garantías constitucionales.-</w:t>
      </w:r>
    </w:p>
    <w:p>
      <w:pPr>
        <w:pStyle w:val="[Normal]"/>
        <w:spacing w:line="360" w:lineRule="auto"/>
        <w:ind w:firstLine="1134"/>
        <w:jc w:val="both"/>
        <w:rPr>
          <w:lang w:val="es-AR" w:eastAsia="es-AR" w:bidi="es-AR"/>
        </w:rPr>
      </w:pPr>
      <w:r>
        <w:rPr>
          <w:lang w:val="es-AR" w:eastAsia="es-AR" w:bidi="es-AR"/>
        </w:rPr>
        <w:t xml:space="preserve">En efecto, la competencia primaria de los órganos representativos para definir la política económica, monetaria o antiinflacionaria no excluye el deber jurisdiccional de controlar que la aplicación concreta de una norma legal no conduzca a la frustración de garantías constitucionales.  Cuando, en un proceso determinado, la aplicación mecánica de una regla provoca la licuación sustancial de un crédito judicialmente reconocido y la consiguiente afectación del derecho de propiedad, de la reparación plena o de la tutela judicial efectiva, la intervención judicial no desplaza a los poderes políticos, sino que cumple la función propia de asegurar la supremacía constitucional. Sostener lo contrario importaría vaciar de contenido la función jurisdiccional, pues el control de constitucionalidad no constituye una excepción al principio republicano, sino una de sus manifestaciones institucionales.-</w:t>
      </w:r>
    </w:p>
    <w:p>
      <w:pPr>
        <w:pStyle w:val="[Normal]"/>
        <w:spacing w:line="360" w:lineRule="auto"/>
        <w:ind w:firstLine="1134"/>
        <w:jc w:val="both"/>
        <w:rPr>
          <w:lang w:val="es-AR" w:eastAsia="es-AR" w:bidi="es-AR"/>
        </w:rPr>
      </w:pPr>
      <w:r>
        <w:rPr>
          <w:lang w:val="es-AR" w:eastAsia="es-AR" w:bidi="es-AR"/>
        </w:rPr>
        <w:t xml:space="preserve">La objeción del apelante, por tanto, confunde control judicial de constitucionalidad con creación judicial de una política pública general. </w:t>
      </w:r>
      <w:r>
        <w:rPr>
          <w:i/>
          <w:lang w:val="es-AR" w:eastAsia="es-AR" w:bidi="es-AR"/>
        </w:rPr>
        <w:t xml:space="preserve">“Barrios” </w:t>
      </w:r>
      <w:r>
        <w:rPr>
          <w:lang w:val="es-AR" w:eastAsia="es-AR" w:bidi="es-AR"/>
        </w:rPr>
        <w:t xml:space="preserve">no establece una regla automática de indexación aplicable a todo crédito, en todo proceso y con prescindencia de sus circunstancias.  Por el contrario, exige ponderar la concreta configuración del litigio, la naturaleza de la obligación, la conducta de las partes, la existencia de una brecha lesiva real y la idoneidad del mecanismo escogido para evitar un resultado constitucionalmente intolerable, todo ello con respeto del principio de congruencia, la bilateralidad y el derecho de defensa.-</w:t>
      </w:r>
    </w:p>
    <w:p>
      <w:pPr>
        <w:pStyle w:val="[Normal]"/>
        <w:spacing w:line="360" w:lineRule="auto"/>
        <w:ind w:firstLine="1134"/>
        <w:jc w:val="both"/>
        <w:rPr>
          <w:lang w:val="es-AR" w:eastAsia="es-AR" w:bidi="es-AR"/>
        </w:rPr>
      </w:pPr>
      <w:r>
        <w:rPr>
          <w:lang w:val="es-AR" w:eastAsia="es-AR" w:bidi="es-AR"/>
        </w:rPr>
        <w:t xml:space="preserve">Esa lectura restrictiva y prudencial es la que impide sostener que exista una invasión de un poder sobre otro.  El juez no legisla cuando descarta, para el caso sometido a decisión, una aplicación normativa que produce una lesión constitucional concreta; cumple, antes bien, la función que le asigna el orden constitucional.  De igual modo, la declaración de inconstitucionalidad en el caso no elimina la vigencia general de la ley ni impide que el legislador adopte el régimen monetario que estime adecuado dentro del marco constitucional. Sólo evita que, en el proceso bajo juzgamiento, la prohibición legal de actualización opere como fuente de un menoscabo patrimonial irrazonable.-</w:t>
      </w:r>
    </w:p>
    <w:p>
      <w:pPr>
        <w:pStyle w:val="[Normal]"/>
        <w:spacing w:line="360" w:lineRule="auto"/>
        <w:ind w:firstLine="1134"/>
        <w:jc w:val="both"/>
        <w:rPr>
          <w:lang w:val="es-AR" w:eastAsia="es-AR" w:bidi="es-AR"/>
        </w:rPr>
      </w:pPr>
      <w:r>
        <w:rPr>
          <w:lang w:val="es-AR" w:eastAsia="es-AR" w:bidi="es-AR"/>
        </w:rPr>
        <w:t xml:space="preserve">Esta conclusión se refuerza si se advierte que la propia doctrina posterior (Cf. causa L. 132.729, 'Galarza, Daniel Alejandro contra Prevención Aseguradora de Riesgos del Trabajo S. A. Accidente in itinere') ha destacado que </w:t>
      </w:r>
      <w:r>
        <w:rPr>
          <w:i/>
          <w:lang w:val="es-AR" w:eastAsia="es-AR" w:bidi="es-AR"/>
        </w:rPr>
        <w:t xml:space="preserve">“Barrios”</w:t>
      </w:r>
      <w:r>
        <w:rPr>
          <w:lang w:val="es-AR" w:eastAsia="es-AR" w:bidi="es-AR"/>
        </w:rPr>
        <w:t xml:space="preserve"> no constituye una ley en sentido material, no tiene fuerza creadora de una nueva norma ni eficacia derogatoria general, y tampoco puede ser aplicado de modo lineal, indiscriminado o automático a cualquier relación jurídica.  Su operatividad depende de la concurrencia de presupuestos procesales y sustanciales específicos: planteo oportuno, adecuada sustanciación, prueba de la brecha lesiva, respeto de la congruencia y selección razonable del mecanismo de recomposición.  Sin esos recaudos, no hay aplicación válida del precedente; con ellos, no hay invasión de poderes, sino ejercicio regular de jurisdicción.-</w:t>
      </w:r>
    </w:p>
    <w:p>
      <w:pPr>
        <w:pStyle w:val="[Normal]"/>
        <w:spacing w:line="360" w:lineRule="auto"/>
        <w:ind w:firstLine="1134"/>
        <w:jc w:val="both"/>
        <w:rPr>
          <w:lang w:val="es-AR" w:eastAsia="es-AR" w:bidi="es-AR"/>
        </w:rPr>
      </w:pPr>
      <w:r>
        <w:rPr>
          <w:lang w:val="es-AR" w:eastAsia="es-AR" w:bidi="es-AR"/>
        </w:rPr>
        <w:t xml:space="preserve">En definitiva, el agravio debe ser desestimado. La aplicación al caso de la doctrina de </w:t>
      </w:r>
      <w:r>
        <w:rPr>
          <w:i/>
          <w:lang w:val="es-AR" w:eastAsia="es-AR" w:bidi="es-AR"/>
        </w:rPr>
        <w:t xml:space="preserve">“Barrios” </w:t>
      </w:r>
      <w:r>
        <w:rPr>
          <w:lang w:val="es-AR" w:eastAsia="es-AR" w:bidi="es-AR"/>
        </w:rPr>
        <w:t xml:space="preserve">no importa que este Tribunal asuma funciones legislativas ni que sustituya a los poderes políticos en el diseño de la política monetaria.  Sólo implica resolver, dentro de los límites del caso, si la aplicación nominal de una norma legal conduce o no a un resultado constitucionalmente admisible.  Esa tarea pertenece al núcleo de la función judicial y no vulnera, sino que preserva, el equilibrio propio de la división de poderes.-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traído confirmando la sentencia de grado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Alzada hasta tanto obre en autos liquidación firme (art. 51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traído confirmando la sentencia de grado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Alzada hasta tanto obre en autos liquidación firme (art. 51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t xml:space="preserve"> </w:t>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23330971789@NOTIFICACIONES.SCBA.GOV.AR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20268073184@NOTIFICACIONES.SCBA.GOV.AR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05/05/2026 10:02:37 -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05/05/2026 10:32:50 -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05/05/2026 11:47:51 -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‰8B")è&amp;zgc0Š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243402090006907167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05/05/2026 11:48:12 hs. bajo el número RS-71-2026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