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5995-26</w:t>
      </w:r>
      <w:r>
        <w:rPr>
          <w:lang w:val="es-AR" w:eastAsia="es-AR" w:bidi="es-AR"/>
        </w:rPr>
        <w:t xml:space="preserve"> caratulada </w:t>
      </w:r>
      <w:r>
        <w:rPr>
          <w:b/>
          <w:lang w:val="es-AR" w:eastAsia="es-AR" w:bidi="es-AR"/>
        </w:rPr>
        <w:t xml:space="preserve">"</w:t>
      </w:r>
      <w:r>
        <w:rPr>
          <w:b/>
          <w:color w:val="000000"/>
          <w:lang w:val="es-AR" w:eastAsia="es-AR" w:bidi="es-AR"/>
        </w:rPr>
        <w:t xml:space="preserve">NUEVO PLUS ULTRA S.A.  S/ CONCURSO PREVENTIVO(PEQUEÑO)</w:t>
      </w:r>
      <w:r>
        <w:rPr>
          <w:b/>
          <w:lang w:val="es-AR" w:eastAsia="es-AR" w:bidi="es-AR"/>
        </w:rPr>
        <w:t xml:space="preserve">"</w:t>
      </w:r>
      <w:r>
        <w:rPr>
          <w:lang w:val="es-AR" w:eastAsia="es-AR" w:bidi="es-AR"/>
        </w:rPr>
        <w:t xml:space="preserve">, Expte. 69028</w:t>
      </w:r>
      <w:r>
        <w:rPr>
          <w:color w:val="000000"/>
          <w:lang w:val="es-AR" w:eastAsia="es-AR" w:bidi="es-AR"/>
        </w:rPr>
        <w:t xml:space="preserve"> </w:t>
      </w:r>
      <w:r>
        <w:rPr>
          <w:lang w:val="es-AR" w:eastAsia="es-AR" w:bidi="es-AR"/>
        </w:rPr>
        <w:t xml:space="preserve">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juez de grado rechazó in limine la apertura del concurso preventivo solicitado por NUEVO PLUS ULTRA S.A., por entender que la presentación inicial resultaba manifiestamente incompleta, al no cumplimentar la mayoría de recaudos exigidos por el art. 11 de la LCQ. Asimismo, consideró que el pedido de concesión del plazo de diez días previsto en la norma carecía de fundamentación suficiente.</w:t>
      </w:r>
    </w:p>
    <w:p>
      <w:pPr>
        <w:pStyle w:val="[Normal]"/>
        <w:spacing w:line="360" w:lineRule="auto"/>
        <w:ind w:firstLine="1134"/>
        <w:jc w:val="both"/>
        <w:rPr>
          <w:lang w:val="es-AR" w:eastAsia="es-AR" w:bidi="es-AR"/>
        </w:rPr>
      </w:pPr>
      <w:r>
        <w:rPr>
          <w:lang w:val="es-AR" w:eastAsia="es-AR" w:bidi="es-AR"/>
        </w:rPr>
        <w:t xml:space="preserve">Disconforme con lo decidido apela el 4/2/26 el apoderado de NUEVO PLUS ULTRA S.A., recurso que fuera concedido el 9/2/26 y fundado el 18/2/2026.</w:t>
      </w:r>
    </w:p>
    <w:p>
      <w:pPr>
        <w:pStyle w:val="[Normal]"/>
        <w:spacing w:line="360" w:lineRule="auto"/>
        <w:ind w:firstLine="1134"/>
        <w:jc w:val="both"/>
        <w:rPr>
          <w:lang w:val="es-AR" w:eastAsia="es-AR" w:bidi="es-AR"/>
        </w:rPr>
      </w:pPr>
      <w:r>
        <w:rPr>
          <w:lang w:val="es-AR" w:eastAsia="es-AR" w:bidi="es-AR"/>
        </w:rPr>
        <w:t xml:space="preserve">Elevados los autos a este organismo, el 20/2/26 se dicta el llamamiento de autos para resolver, providencia que habiendo adquirido firmeza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La recurrente sostiene, en lo sustancial, que no existió incumplimiento de los recaudos legales, sino que se solicitó la concesión del plazo previsto en el art. 11 LCQ a fin de incorporar el estado detallado y valorado del activo, balances y nómina de acreedores con su documentación respaldatoria, alegando que la magnitud de la documentación a acompañar, incluso vinculada a numerosos procesos judiciales, dificultaba su inmediata digitalización. En esa línea, afirma que la presentación inicial cumplió con los extremos exigidos y que solo restaba la integración documental dentro del plazo legal.</w:t>
      </w:r>
    </w:p>
    <w:p>
      <w:pPr>
        <w:pStyle w:val="[Normal]"/>
        <w:spacing w:line="360" w:lineRule="auto"/>
        <w:ind w:firstLine="1134"/>
        <w:jc w:val="both"/>
        <w:rPr>
          <w:lang w:val="es-AR" w:eastAsia="es-AR" w:bidi="es-AR"/>
        </w:rPr>
      </w:pPr>
      <w:r>
        <w:rPr>
          <w:lang w:val="es-AR" w:eastAsia="es-AR" w:bidi="es-AR"/>
        </w:rPr>
        <w:t xml:space="preserve">Debe señalarse, en primer término, que el propio escrito de inicio exhibe una marcada inconsistencia en la configuración del planteo. En efecto, allí la peticionante afirma haber dado cumplimiento a los recaudos del art. 11 de la LCQ, indicando incluso que la documentación pertinente -balances, estado de activo y pasivo y demás constancias- se acompañaba con la presentación, a la par que solicita la concesión del plazo legal de manera subsidiaria, esto es, para el supuesto de que el magistrado considerara necesaria alguna integración adicional en atención al volumen de la documentación.</w:t>
      </w:r>
    </w:p>
    <w:p>
      <w:pPr>
        <w:pStyle w:val="[Normal]"/>
        <w:spacing w:line="360" w:lineRule="auto"/>
        <w:ind w:firstLine="1134"/>
        <w:jc w:val="both"/>
        <w:rPr>
          <w:lang w:val="es-AR" w:eastAsia="es-AR" w:bidi="es-AR"/>
        </w:rPr>
      </w:pPr>
      <w:r>
        <w:rPr>
          <w:lang w:val="es-AR" w:eastAsia="es-AR" w:bidi="es-AR"/>
        </w:rPr>
        <w:t xml:space="preserve">Sin embargo, al expresar agravios, la recurrente altera sustancialmente ese encuadre, sosteniendo que el plazo previsto en la norma habría sido requerido precisamente a fin de incorporar aquella documentación esencial. Tal replanteo importa una modificación de los términos en que fue introducida la cuestión en la instancia de origen, procurando ahora justificar la omisión de recaudos que, según su propia versión inicial, ya se encontraban cumplidos.</w:t>
      </w:r>
    </w:p>
    <w:p>
      <w:pPr>
        <w:pStyle w:val="[Normal]"/>
        <w:spacing w:line="360" w:lineRule="auto"/>
        <w:ind w:firstLine="1134"/>
        <w:jc w:val="both"/>
        <w:rPr>
          <w:color w:val="000000"/>
          <w:lang w:val="es-AR" w:eastAsia="es-AR" w:bidi="es-AR"/>
        </w:rPr>
      </w:pPr>
      <w:r>
        <w:rPr>
          <w:color w:val="000000"/>
          <w:lang w:val="es-AR" w:eastAsia="es-AR" w:bidi="es-AR"/>
        </w:rPr>
        <w:t xml:space="preserve">Al respecto, debe recordarse que</w:t>
      </w:r>
      <w:r>
        <w:rPr>
          <w:b/>
          <w:color w:val="000000"/>
          <w:lang w:val="es-AR" w:eastAsia="es-AR" w:bidi="es-AR"/>
        </w:rPr>
        <w:t xml:space="preserve"> </w:t>
      </w:r>
      <w:r>
        <w:rPr>
          <w:color w:val="000000"/>
          <w:lang w:val="es-AR" w:eastAsia="es-AR" w:bidi="es-AR"/>
        </w:rPr>
        <w:t xml:space="preserve">los poderes de la jurisdicción de la Alzada quedan enmarcados dentro de las dos grandes vertientes que ofrecen el postulado de congruencia, por un lado y el sistema dispositivo por el otro.  En tal sentido, las potestades sufren en principio una doble limitación: la que resulta de la relación procesal que aparece con la demanda y contestación -congruencia- y la que el apelante haya querido imponerle en el recurso -dispositivo-. Quedan marginados de esta jurisdicción los capítulos no propuestos a su conocimiento (Morello, Sosa, Berizonce, "Códigos Procesales ....", Tº III, Bs. As. 1988, pág. 400 y ss). Los tribunales de apelación no pueden fallar sobre puntos o capítulos no propuestos a decisión del juez de primera instancia (art.272, C.P.C.C., SCBA, Ac 75831 S 13-12-2000, AC 79725 S 19-2-2002, C 100263 S 24-8-2011, B20000) (cfr. C.A.P. causa 2785 RSD 49/17, del 20/4/17).-</w:t>
      </w:r>
    </w:p>
    <w:p>
      <w:pPr>
        <w:pStyle w:val="[Normal]"/>
        <w:spacing w:line="360" w:lineRule="auto"/>
        <w:ind w:firstLine="1134"/>
        <w:jc w:val="both"/>
        <w:rPr>
          <w:lang w:val="es-AR" w:eastAsia="es-AR" w:bidi="es-AR"/>
        </w:rPr>
      </w:pPr>
      <w:r>
        <w:rPr>
          <w:lang w:val="es-AR" w:eastAsia="es-AR" w:bidi="es-AR"/>
        </w:rPr>
        <w:t xml:space="preserve">Pero si aún por hipótesis asumiéramos una tesitura flexible, ha de adunarse que "La ley 24.522 habla en su art. 11 de la exigencia de requisitos formales de la petición del concurso, aunque en realidad son recaudos sustanciales o legales que están impuesto como condición de admisibilidad del concurso preventivo, que de no cumplirse deviene en su rechazo "in limine". Ahora bien, tal rechazo no implica de ninguna manera hacer juicio de valor sobre el fondo de la cuestión que amerite la causal de recusación por prejuzgamiento, dado que la resolución dictada originariamente por el Magistrados -donde se analiza el cumplimiento de los recaudos de procedencia del art. 11 de la LCQ- es un deber que la misma ley le impone realizar" (cfr. CC0103 MP 164286 408 I 17/11/2017 JUBA B5059521).</w:t>
      </w:r>
    </w:p>
    <w:p>
      <w:pPr>
        <w:pStyle w:val="[Normal]"/>
        <w:spacing w:line="360" w:lineRule="auto"/>
        <w:ind w:firstLine="1134"/>
        <w:jc w:val="both"/>
        <w:rPr>
          <w:lang w:val="es-AR" w:eastAsia="es-AR" w:bidi="es-AR"/>
        </w:rPr>
      </w:pPr>
      <w:r>
        <w:rPr>
          <w:lang w:val="es-AR" w:eastAsia="es-AR" w:bidi="es-AR"/>
        </w:rPr>
        <w:t xml:space="preserve">Asimismo, se sostiene que: "La importancia de los requisitos exigidos por el art. 11 de la ley 24.522 a efectos de lograr la apertura del concurso, se funda en la necesidad de exhibir una especie de radiografía de la situación patrimonial y de las posibilidades de cumplimiento del acuerdo que se ponga a los acreedores. Y que las exigencias legales deben concretarse de modo que faciliten la eventual labor de la sindicatura y compulsa por parte de los acreedores interesados, por lo que es menester una exposición ordenada y precisa" (CC0001 SM 61120 RSD-9-9 S 17/02/2009 JUBA B1952240) Y que: "Tal importancia posee el cumplimiento de los recaudos legales de este artículo que su omisión conduce al rechazo "in limine" de la demanda de concurso preventivo tal como lo preceptúa el art. 13 del mencionado cuerpo legal (CC0103 MP 166014 106 S 26/06/2018 JUBA B5055530).</w:t>
      </w:r>
    </w:p>
    <w:p>
      <w:pPr>
        <w:pStyle w:val="[Normal]"/>
        <w:spacing w:line="360" w:lineRule="auto"/>
        <w:ind w:firstLine="1134"/>
        <w:jc w:val="both"/>
        <w:rPr>
          <w:lang w:val="es-AR" w:eastAsia="es-AR" w:bidi="es-AR"/>
        </w:rPr>
      </w:pPr>
      <w:r>
        <w:rPr>
          <w:lang w:val="es-AR" w:eastAsia="es-AR" w:bidi="es-AR"/>
        </w:rPr>
        <w:t xml:space="preserve">Por su parte, se ha expuesto que: "El rechazo del pedido de apertura de concurso preventivo debe aplicarse con criterio restrictivo pues no hay que aplicar las exigencias del art. 11 de la ley 24522 de tal forma que provoque un perjuicio para el peticionario y los propios acreedores. Ello no obstante, tampoco puede extremarse tal criterio permitiendo que no se cumpla con los requisitos de la ley que regla la materia, entre los que se cuenta facilitar la labor de la sindicatura y la compulsa por parte de los acreedores interesados, por lo que es menester que tales presupuestos se atiendan de manera ordenada y precisa" (CC0001 SI 77271 RSI-323-98 S 13/07/1998 Juez Arazi (SD) JUBA B1700531). Este criterio opera como pauta hermenéutica, pero no desplaza la exigencia de acreditación efectiva de los extremos legales.</w:t>
      </w:r>
    </w:p>
    <w:p>
      <w:pPr>
        <w:pStyle w:val="[Normal]"/>
        <w:spacing w:line="360" w:lineRule="auto"/>
        <w:ind w:firstLine="1134"/>
        <w:jc w:val="both"/>
        <w:rPr>
          <w:lang w:val="es-AR" w:eastAsia="es-AR" w:bidi="es-AR"/>
        </w:rPr>
      </w:pPr>
      <w:r>
        <w:rPr>
          <w:lang w:val="es-AR" w:eastAsia="es-AR" w:bidi="es-AR"/>
        </w:rPr>
        <w:t xml:space="preserve">Si bien el ordenamiento concursal recepta el principio de conservación de la empresa, tal directriz no puede conducir a prescindir de la efectiva acreditación de los recaudos legales.</w:t>
      </w:r>
    </w:p>
    <w:p>
      <w:pPr>
        <w:pStyle w:val="[Normal]"/>
        <w:spacing w:line="360" w:lineRule="auto"/>
        <w:ind w:firstLine="1134"/>
        <w:jc w:val="both"/>
        <w:rPr>
          <w:lang w:val="es-AR" w:eastAsia="es-AR" w:bidi="es-AR"/>
        </w:rPr>
      </w:pPr>
      <w:r>
        <w:rPr>
          <w:lang w:val="es-AR" w:eastAsia="es-AR" w:bidi="es-AR"/>
        </w:rPr>
        <w:t xml:space="preserve">El plazo previsto en la parte final del art. 11 LCQ constituye un mecanismo excepcional de integración documental, orientado a completar presentaciones que cuenten con una base informativa mínima suficiente.</w:t>
      </w:r>
    </w:p>
    <w:p>
      <w:pPr>
        <w:pStyle w:val="[Normal]"/>
        <w:spacing w:line="360" w:lineRule="auto"/>
        <w:ind w:firstLine="1134"/>
        <w:jc w:val="both"/>
        <w:rPr>
          <w:lang w:val="es-AR" w:eastAsia="es-AR" w:bidi="es-AR"/>
        </w:rPr>
      </w:pPr>
      <w:r>
        <w:rPr>
          <w:lang w:val="es-AR" w:eastAsia="es-AR" w:bidi="es-AR"/>
        </w:rPr>
        <w:t xml:space="preserve">En este sentido, se sostiene que: "Su otorgamiento se trata de una alternativa reservada para verdaderas situaciones de excepción, que no se debe otorgar para salvar olvidos u omisiones, no constituyendo por sí solo un motivo atendible la urgencia del deudor en la presentación de su concurso preventivo para justificar la omisión de los recaudos exigidos y acordar la prórroga de que se trata" (CC0003 SM 67872 D-47/14 S 07/05/2014, Juez Sánchez Pons, JUBA B3651667).</w:t>
      </w:r>
    </w:p>
    <w:p>
      <w:pPr>
        <w:pStyle w:val="[Normal]"/>
        <w:spacing w:line="360" w:lineRule="auto"/>
        <w:ind w:firstLine="1134"/>
        <w:jc w:val="both"/>
        <w:rPr>
          <w:lang w:val="es-AR" w:eastAsia="es-AR" w:bidi="es-AR"/>
        </w:rPr>
      </w:pPr>
      <w:r>
        <w:rPr>
          <w:lang w:val="es-AR" w:eastAsia="es-AR" w:bidi="es-AR"/>
        </w:rPr>
        <w:t xml:space="preserve">Del examen de las actuaciones surge que la peticionante invoca el cumplimiento de los recaudos del art. 11 de la Ley 24.522; sin embargo, de las constancias del expediente no resulta la efectiva incorporación del estado detallado del activo y pasivo ni de los balances correspondientes, exigidos por el inciso 3 de la norma. Tal circunstancia adquiere particular relevancia en tanto los propios dichos del presentante vertidos en el libelo de inicio afirman la existencia de dicha documentación como acompañada, lo que no se verifica en las actuaciones, evidenciándose así no solo una discordancia entre lo declarado y lo efectivamente incorporado, sino también la improcedencia del argumento introducido en esta instancia, que pretende asignar al plazo de gracia una finalidad distinta de la invocada al promover la solicitud concursal. Tal desplazamiento argumental no puede ser atendido, en tanto se contrapone con la propia conducta procesal anterior de la parte y desborda el marco de revisión propio del recurso.</w:t>
      </w:r>
    </w:p>
    <w:p>
      <w:pPr>
        <w:pStyle w:val="[Normal]"/>
        <w:spacing w:line="360" w:lineRule="auto"/>
        <w:ind w:firstLine="1134"/>
        <w:jc w:val="both"/>
        <w:rPr>
          <w:lang w:val="es-AR" w:eastAsia="es-AR" w:bidi="es-AR"/>
        </w:rPr>
      </w:pPr>
      <w:r>
        <w:rPr>
          <w:lang w:val="es-AR" w:eastAsia="es-AR" w:bidi="es-AR"/>
        </w:rPr>
        <w:t xml:space="preserve">Asimismo, en relación al inciso 5, la nómina de acreedores se presenta incompleta, sin la debida integración de los legajos exigidos ni la totalidad de la documentación respaldatoria correspondiente.</w:t>
      </w:r>
    </w:p>
    <w:p>
      <w:pPr>
        <w:pStyle w:val="[Normal]"/>
        <w:spacing w:line="360" w:lineRule="auto"/>
        <w:ind w:firstLine="1134"/>
        <w:jc w:val="both"/>
        <w:rPr>
          <w:lang w:val="es-AR" w:eastAsia="es-AR" w:bidi="es-AR"/>
        </w:rPr>
      </w:pPr>
      <w:r>
        <w:rPr>
          <w:lang w:val="es-AR" w:eastAsia="es-AR" w:bidi="es-AR"/>
        </w:rPr>
        <w:t xml:space="preserve">Las manifestaciones del recurrente no logran desvirtuar dicha circunstancia objetiva, en tanto la invocación de dificultades vinculadas al volumen de la documentación o a su digitalización no suple la falta de efectiva incorporación al expediente de los recaudos esenciales, ni constituye una justificación suficiente en ausencia de una imposibilidad concreta y específica.</w:t>
      </w:r>
    </w:p>
    <w:p>
      <w:pPr>
        <w:pStyle w:val="[Normal]"/>
        <w:spacing w:line="360" w:lineRule="auto"/>
        <w:ind w:firstLine="1134"/>
        <w:jc w:val="both"/>
        <w:rPr>
          <w:lang w:val="es-AR" w:eastAsia="es-AR" w:bidi="es-AR"/>
        </w:rPr>
      </w:pPr>
      <w:r>
        <w:rPr>
          <w:lang w:val="es-AR" w:eastAsia="es-AR" w:bidi="es-AR"/>
        </w:rPr>
        <w:t xml:space="preserve">Cabe destacar que no se trata de una mera insuficiencia formal susceptible de integración, sino de la ausencia de una base documental mínima que permita el ejercicio del control jurisdiccional propio de esta etapa inicial del proceso concursal.</w:t>
      </w:r>
    </w:p>
    <w:p>
      <w:pPr>
        <w:pStyle w:val="[Normal]"/>
        <w:spacing w:line="360" w:lineRule="auto"/>
        <w:ind w:firstLine="1134"/>
        <w:jc w:val="both"/>
        <w:rPr>
          <w:lang w:val="es-AR" w:eastAsia="es-AR" w:bidi="es-AR"/>
        </w:rPr>
      </w:pPr>
      <w:r>
        <w:rPr>
          <w:lang w:val="es-AR" w:eastAsia="es-AR" w:bidi="es-AR"/>
        </w:rPr>
        <w:t xml:space="preserve">En tales condiciones, no se configura el presupuesto de admisibilidad para la apertura del plazo previsto en la parte final del art. 11 LCQ, el cual presupone una presentación sustancialmente completa susceptible de integración complementaria, extremo que no se verifica en el caso.</w:t>
      </w:r>
    </w:p>
    <w:p>
      <w:pPr>
        <w:pStyle w:val="[Normal]"/>
        <w:spacing w:line="360" w:lineRule="auto"/>
        <w:ind w:firstLine="1134"/>
        <w:jc w:val="both"/>
        <w:rPr>
          <w:lang w:val="es-AR" w:eastAsia="es-AR" w:bidi="es-AR"/>
        </w:rPr>
      </w:pPr>
      <w:r>
        <w:rPr>
          <w:lang w:val="es-AR" w:eastAsia="es-AR" w:bidi="es-AR"/>
        </w:rPr>
        <w:t xml:space="preserve">A mayor abundamiento, cabe señalar que aun cuando se atendiera -en hipótesis- a la justificación ensayada por la recurrente en esta instancia, lo cierto es que, elevada la causa a esta Alzada, la interesada no ha procedido a acompañar la documentación cuya ausencia invoca para sustentar su agravio, pese al tiempo transcurrido desde la elevación de las actuaciones. Tal inactividad procesal posterior refuerza la insuficiencia de la crítica formulada, al privarla de correlato fáctico verificable.</w:t>
      </w:r>
    </w:p>
    <w:p>
      <w:pPr>
        <w:pStyle w:val="[Normal]"/>
        <w:spacing w:line="360" w:lineRule="auto"/>
        <w:ind w:firstLine="1134"/>
        <w:jc w:val="both"/>
        <w:rPr>
          <w:lang w:val="es-AR" w:eastAsia="es-AR" w:bidi="es-AR"/>
        </w:rPr>
      </w:pPr>
      <w:r>
        <w:rPr>
          <w:lang w:val="es-AR" w:eastAsia="es-AR" w:bidi="es-AR"/>
        </w:rPr>
        <w:t xml:space="preserve">En consecuencia, la decisión de grado que rechazó in limine la apertura del concurso preventivo se ajusta a derecho, no configurándose un supuesto de excesivo rigor formal sino la aplicación razonable de las exigencias legales vigentes.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la resolución recurrida.</w:t>
      </w:r>
    </w:p>
    <w:p>
      <w:pPr>
        <w:pStyle w:val="[Normal]"/>
        <w:spacing w:line="360" w:lineRule="auto"/>
        <w:ind w:firstLine="1134"/>
        <w:jc w:val="both"/>
        <w:rPr>
          <w:lang w:val="es-AR" w:eastAsia="es-AR" w:bidi="es-AR"/>
        </w:rPr>
      </w:pPr>
      <w:r>
        <w:rPr>
          <w:lang w:val="es-AR" w:eastAsia="es-AR" w:bidi="es-AR"/>
        </w:rPr>
        <w:t xml:space="preserve">Sin costas por no mediar contienda (art.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la resolución recurrida.</w:t>
      </w:r>
    </w:p>
    <w:p>
      <w:pPr>
        <w:pStyle w:val="[Normal]"/>
        <w:spacing w:line="360" w:lineRule="auto"/>
        <w:ind w:firstLine="1134"/>
        <w:jc w:val="both"/>
        <w:rPr>
          <w:lang w:val="es-AR" w:eastAsia="es-AR" w:bidi="es-AR"/>
        </w:rPr>
      </w:pPr>
      <w:r>
        <w:rPr>
          <w:lang w:val="es-AR" w:eastAsia="es-AR" w:bidi="es-AR"/>
        </w:rPr>
        <w:t xml:space="preserve">Sin costas por no mediar contienda (art. 68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10:01:44 -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10:33:05 -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05/05/2026 12:08:37 -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‰6~")è&amp;x!#.Š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229402090006880103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05/05/2026 12:08:49 hs. bajo el número RS-73-2026 por PE\LBIANCO LUIS MARIA.</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