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5880-25</w:t>
      </w:r>
      <w:r>
        <w:rPr>
          <w:lang w:val="es-AR" w:eastAsia="es-AR" w:bidi="es-AR"/>
        </w:rPr>
        <w:t xml:space="preserve"> caratulada </w:t>
      </w:r>
      <w:r>
        <w:rPr>
          <w:b/>
          <w:lang w:val="es-AR" w:eastAsia="es-AR" w:bidi="es-AR"/>
        </w:rPr>
        <w:t xml:space="preserve"> "RODRIGUEZ NORMA BEATRIZ Y OTROS C/ SMITH DANILO LEON Y VICTORIO EN CARACTER DE HEREDEROS DE SMITH SILVIO FERNANDO Y OTROS S/ DAÑOS Y PERJUICIOS" </w:t>
      </w:r>
      <w:r>
        <w:rPr>
          <w:lang w:val="es-AR" w:eastAsia="es-AR" w:bidi="es-AR"/>
        </w:rPr>
        <w:t xml:space="preserve">, Expte. N° </w:t>
      </w:r>
      <w:r>
        <w:rPr>
          <w:color w:val="000000"/>
          <w:lang w:val="es-AR" w:eastAsia="es-AR" w:bidi="es-AR"/>
        </w:rPr>
        <w:t xml:space="preserve">62.834</w:t>
      </w:r>
      <w:r>
        <w:rPr>
          <w:color w:val="000000"/>
          <w:lang w:val="es-AR" w:eastAsia="es-AR" w:bidi="es-AR"/>
        </w:rPr>
        <w:t xml:space="preserve"> y su acumulada N° 5879-25 </w:t>
      </w:r>
      <w:r>
        <w:rPr>
          <w:b/>
          <w:color w:val="000000"/>
          <w:lang w:val="es-AR" w:eastAsia="es-AR" w:bidi="es-AR"/>
        </w:rPr>
        <w:t xml:space="preserve">"GANDOV IDA ISABEL C/ SMITH DANILO LEON Y OTROS S/ DAÑOS Y PERJ. AUTOM. C/LES. O MUERTE (EXC.ESTADO)" </w:t>
      </w:r>
      <w:r>
        <w:rPr>
          <w:lang w:val="es-AR" w:eastAsia="es-AR" w:bidi="es-AR"/>
        </w:rPr>
        <w:t xml:space="preserve">Expte. 64.204</w:t>
      </w:r>
      <w:r>
        <w:rPr>
          <w:b/>
          <w:color w:val="000000"/>
          <w:lang w:val="es-AR" w:eastAsia="es-AR" w:bidi="es-AR"/>
        </w:rPr>
        <w:t xml:space="preserve"> </w:t>
      </w:r>
      <w:r>
        <w:rPr>
          <w:color w:val="000000"/>
          <w:lang w:val="es-AR" w:eastAsia="es-AR" w:bidi="es-AR"/>
        </w:rPr>
        <w:t xml:space="preserve">ambas</w:t>
      </w:r>
      <w:r>
        <w:rPr>
          <w:b/>
          <w:color w:val="000000"/>
          <w:lang w:val="es-AR" w:eastAsia="es-AR" w:bidi="es-AR"/>
        </w:rPr>
        <w:t xml:space="preserve"> </w:t>
      </w:r>
      <w:r>
        <w:rPr>
          <w:lang w:val="es-AR" w:eastAsia="es-AR" w:bidi="es-AR"/>
        </w:rPr>
        <w:t xml:space="preserve">del Juzgado en lo Civil y Comercial N° 3,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en el </w:t>
      </w:r>
      <w:r>
        <w:rPr>
          <w:u w:val="single"/>
          <w:lang w:val="es-AR" w:eastAsia="es-AR" w:bidi="es-AR"/>
        </w:rPr>
        <w:t xml:space="preserve">Expte. Nro. 62.834</w:t>
      </w:r>
      <w:r>
        <w:rPr>
          <w:lang w:val="es-AR" w:eastAsia="es-AR" w:bidi="es-AR"/>
        </w:rPr>
        <w:t xml:space="preserve">: hizo lugar a la demanda instaurada por Norma Beatriz Rodríguez, Claudio Marcelo Rodríguez, Ana Patricia Barbarito, Juan Carlos González y José Antonio Nieva, condenó en consecuencia a Danilo León Smith y Victorio Smith -en su carácter de herederos de Silvio Fernando Smith-, a Pablo Raúl Smith y a Caja Seguros S. A., a abonar la primero de los nombrados, la suma de treinta y tres millones novecientos treinta y seis mil pesos ($ 33.936.000,00.-); al segundo, la suma de treinta y cinco millones quinientos cincuenta y ocho mil pesos ($ 35.558.000.-); a la tercera, la suma de dieciocho millones trescientos setenta y dos mil pesos ($ 18.372.000.-); al cuarto, la suma de veintitrés millones novecientos treinta mil quinientos noventa y nueve pesos ($ 23.930.599.-), y, al quinto, la suma de veinte millones trescientos setenta y dos mil pesos ($ 20.372.000.-), en todos los casos, dentro de los diez días de notificada la presente, con más sus intereses, los que habrán calcularse en la forma dispuesta en el considerando VIII.  Rechazó la demanda promovida por Norma Beatriz Rodríguez, Claudio Marcelo Rodríguez, Ana Patricia Barbarito, Juan Carlos González y José Antonio Nieva, contra Oscar Raúl Barbona, Lucas David Romano y La Segunda Coop. Ltda. de Seguros Grales.  Impuso las costas a los demandados vencidos y a Caja Seguros S. A..  Difirió la regulación de honorarios de  los  letrados intervinientes y de los peritos, hasta que medie firme la respectiva liquidación de intereses y gastos (Arts. 23, 51 y ccdts. ley 14.967). y en el </w:t>
      </w:r>
      <w:r>
        <w:rPr>
          <w:u w:val="single"/>
          <w:lang w:val="es-AR" w:eastAsia="es-AR" w:bidi="es-AR"/>
        </w:rPr>
        <w:t xml:space="preserve">Expte. Nro. 64.204</w:t>
      </w:r>
      <w:r>
        <w:rPr>
          <w:lang w:val="es-AR" w:eastAsia="es-AR" w:bidi="es-AR"/>
        </w:rPr>
        <w:t xml:space="preserve"> Hizo lugar a la demanda instaurada por Ida Isabel Gandov, condenó en consecuencia a Danilo León Smith y Victorio Smith -en su carácter de herederos de Silvio Fernando Smith-, a PABLO Raúl Smith y a Caja Seguros S.A., a abonar a la parte actora, dentro de los diez días de notificada la presente, la suma de dieciocho millones trescientos setenta y dos mil pesos ($ 18.372.000.-), con más sus intereses, los que habrán calcularse en la forma dispuesta en el considerando VIII. Rechazó la demanda promovida por Ida Isabel Gandov contra Oscar Raúl Barbona, Lucas David Romano y La Segunda Coop. Ltda. de Seguros Grales. Impusó las costas a los demandados vencidos y a Caja Seguros S. A..  Difirió la regulación de honorarios de los letrados intervinientes y de los peritos, hasta que medie firme la respectiva liquidación de intereses y gastos (Arts. 23, 51 y ccdts. ley 14.967).</w:t>
      </w:r>
    </w:p>
    <w:p>
      <w:pPr>
        <w:pStyle w:val="[Normal]"/>
        <w:spacing w:line="360" w:lineRule="auto"/>
        <w:ind w:firstLine="1134"/>
        <w:jc w:val="both"/>
        <w:rPr>
          <w:lang w:val="es-AR" w:eastAsia="es-AR" w:bidi="es-AR"/>
        </w:rPr>
      </w:pPr>
      <w:r>
        <w:rPr>
          <w:lang w:val="es-AR" w:eastAsia="es-AR" w:bidi="es-AR"/>
        </w:rPr>
        <w:t xml:space="preserve">Tal decisorio fue objeto de los recursos de apelación interpuestos por la parte actora (2-10-2025), por los demandados Sra</w:t>
      </w:r>
      <w:r>
        <w:rPr>
          <w:rStyle w:val="STRONG"/>
          <w:lang w:val="es-AR" w:eastAsia="es-AR" w:bidi="es-AR"/>
        </w:rPr>
        <w:t xml:space="preserve"> </w:t>
      </w:r>
      <w:r>
        <w:rPr>
          <w:rStyle w:val="STRONG"/>
          <w:b w:val="off"/>
          <w:lang w:val="es-AR" w:eastAsia="es-AR" w:bidi="es-AR"/>
        </w:rPr>
        <w:t xml:space="preserve">Evangelina Hereñú</w:t>
      </w:r>
      <w:r>
        <w:rPr>
          <w:rStyle w:val="STRONG"/>
          <w:lang w:val="es-AR" w:eastAsia="es-AR" w:bidi="es-AR"/>
        </w:rPr>
        <w:t xml:space="preserve"> </w:t>
      </w:r>
      <w:r>
        <w:rPr>
          <w:lang w:val="es-AR" w:eastAsia="es-AR" w:bidi="es-AR"/>
        </w:rPr>
        <w:t xml:space="preserve">en representación de su hijo menor de edad Smith Victorio y </w:t>
      </w:r>
      <w:r>
        <w:rPr>
          <w:rStyle w:val="STRONG"/>
          <w:b w:val="off"/>
          <w:lang w:val="es-AR" w:eastAsia="es-AR" w:bidi="es-AR"/>
        </w:rPr>
        <w:t xml:space="preserve">Smith Danilo León (6-10-2025); el demandado Smith Pablo Raúl</w:t>
      </w:r>
      <w:r>
        <w:rPr>
          <w:rStyle w:val="STRONG"/>
          <w:lang w:val="es-AR" w:eastAsia="es-AR" w:bidi="es-AR"/>
        </w:rPr>
        <w:t xml:space="preserve"> </w:t>
      </w:r>
      <w:r>
        <w:rPr>
          <w:rStyle w:val="STRONG"/>
          <w:b w:val="off"/>
          <w:lang w:val="es-AR" w:eastAsia="es-AR" w:bidi="es-AR"/>
        </w:rPr>
        <w:t xml:space="preserve">(6-10-2025) y por la citada en garantía </w:t>
      </w:r>
      <w:r>
        <w:rPr>
          <w:lang w:val="es-AR" w:eastAsia="es-AR" w:bidi="es-AR"/>
        </w:rPr>
        <w:t xml:space="preserve">Caja de Seguros S. A.</w:t>
      </w:r>
      <w:r>
        <w:rPr>
          <w:rStyle w:val="STRONG"/>
          <w:b w:val="off"/>
          <w:lang w:val="es-AR" w:eastAsia="es-AR" w:bidi="es-AR"/>
        </w:rPr>
        <w:t xml:space="preserve">(13-10-2025), todos concedidos libremente y en ambos efectos.  Elevados los autos a esta Alzada con fecha 21-10-2025 se ordenó expresar agravios a la parte actora, quien el 30-10-2025 los fundó.  El 4-11-2025 se ordenó expresar agravios a la parte demandada </w:t>
      </w:r>
      <w:r>
        <w:rPr>
          <w:lang w:val="es-AR" w:eastAsia="es-AR" w:bidi="es-AR"/>
        </w:rPr>
        <w:t xml:space="preserve">Evangelina Hereñú en representación de su hijo menor de edad Smith Victorio y Smith Danilo León</w:t>
      </w:r>
      <w:r>
        <w:rPr>
          <w:rStyle w:val="STRONG"/>
          <w:b w:val="off"/>
          <w:lang w:val="es-AR" w:eastAsia="es-AR" w:bidi="es-AR"/>
        </w:rPr>
        <w:t xml:space="preserve">, quien el 13-11-2025 los fundó.  El 20-11-2025 se ordenó expresar agravios al demandado Smith Pablo Raúl, quien el 1-12-2025 los fundó.  El 4-12-2025 se ordenó expresar agravios a la citada en garantía </w:t>
      </w:r>
      <w:r>
        <w:rPr>
          <w:lang w:val="es-AR" w:eastAsia="es-AR" w:bidi="es-AR"/>
        </w:rPr>
        <w:t xml:space="preserve">Caja de Seguros S. A.</w:t>
      </w:r>
      <w:r>
        <w:rPr>
          <w:rStyle w:val="STRONG"/>
          <w:b w:val="off"/>
          <w:lang w:val="es-AR" w:eastAsia="es-AR" w:bidi="es-AR"/>
        </w:rPr>
        <w:t xml:space="preserve">, quien el 15-12-2025 los fundó.  Con fecha 18-12-2025 se ordenaron los traslados siendo evacuados el 19-12-2025 por la demandada </w:t>
      </w:r>
      <w:r>
        <w:rPr>
          <w:lang w:val="es-AR" w:eastAsia="es-AR" w:bidi="es-AR"/>
        </w:rPr>
        <w:t xml:space="preserve">Evangelina Hereñú; el 25-12-2025 por la citada en garantía la Segunda Coop. Ltda. de Seguros Grales. y el demandado Lucas David Romano; 30-12-2025 por el </w:t>
      </w:r>
      <w:r>
        <w:rPr>
          <w:rStyle w:val="STRONG"/>
          <w:b w:val="off"/>
          <w:lang w:val="es-AR" w:eastAsia="es-AR" w:bidi="es-AR"/>
        </w:rPr>
        <w:t xml:space="preserve">demandado Smith Pablo Raúl; el 2-2-2026 por la citada en garantía </w:t>
      </w:r>
      <w:r>
        <w:rPr>
          <w:lang w:val="es-AR" w:eastAsia="es-AR" w:bidi="es-AR"/>
        </w:rPr>
        <w:t xml:space="preserve">Caja de Seguros S. A. y por la parte actora.  Con fecha 5-2-2026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1)</w:t>
      </w:r>
      <w:r>
        <w:rPr>
          <w:b/>
          <w:lang w:val="es-AR" w:eastAsia="es-AR" w:bidi="es-AR"/>
        </w:rPr>
        <w:t xml:space="preserve"> Agravios parte actora:</w:t>
      </w:r>
      <w:r>
        <w:rPr>
          <w:lang w:val="es-AR" w:eastAsia="es-AR" w:bidi="es-AR"/>
        </w:rPr>
        <w:t xml:space="preserve">  a.-Presenta el  memorial el Dr Pablo Dib apoderado de los actores Norma Beatriz Rodriguez, Claudio Marcelo Rodriguez, Ana Patricia Barbarito y Juan Carlos Gonzales y en calidad de patrocinante de José Antonio Nieva, estando desplegado en escrito electrónico, sucintamente versan sobre: a) se duele contra la responsabilidad fallada que le fuera endilgada en forma exclusiva al conductor Smith liberando de toda incidencia al conductor del vehículo mayor Barbona.- Adunando que la pericia de la policía científica producida en la IPP  la que adhiere el Ingeniero Ferretti no deja de ser una hipótesis del modo en que ocurriera el accidente, y que no expone ni desarrolla argumento técnico alguno.-</w:t>
      </w:r>
    </w:p>
    <w:p>
      <w:pPr>
        <w:pStyle w:val="[Normal]"/>
        <w:spacing w:line="360" w:lineRule="auto"/>
        <w:ind w:firstLine="1134"/>
        <w:jc w:val="both"/>
        <w:rPr>
          <w:lang w:val="es-AR" w:eastAsia="es-AR" w:bidi="es-AR"/>
        </w:rPr>
      </w:pPr>
      <w:r>
        <w:rPr>
          <w:lang w:val="es-AR" w:eastAsia="es-AR" w:bidi="es-AR"/>
        </w:rPr>
        <w:t xml:space="preserve">El dato que extrae es que la velocidad desplegada por el camión era de 64,6 km/h y que su conductor no podía mantener debidamente el dominio del mismo, que frenó en el carril de circulación y giró para a banquina, evidenciando una maniobra rara desplegando varias hipótesis a su criterio.</w:t>
      </w:r>
    </w:p>
    <w:p>
      <w:pPr>
        <w:pStyle w:val="[Normal]"/>
        <w:spacing w:line="360" w:lineRule="auto"/>
        <w:ind w:firstLine="1134"/>
        <w:jc w:val="both"/>
        <w:rPr>
          <w:lang w:val="es-AR" w:eastAsia="es-AR" w:bidi="es-AR"/>
        </w:rPr>
      </w:pPr>
      <w:r>
        <w:rPr>
          <w:lang w:val="es-AR" w:eastAsia="es-AR" w:bidi="es-AR"/>
        </w:rPr>
        <w:t xml:space="preserve">Insiste conque el informe pericial se encuentra redactado en modo potencial señalando meras conjeturas y ninguna certeza existe ya que no hay testigos del modo en que ocurrió el hecho.  Pretende el reproche de responsabilidad al conductor del camión y su aseguradora en tanto argumenta que todo es incertidumbre en relación a los motivos que llevaron a los conductores a maniobrar del modo hecho, solicitando se atribuya el evento en un 50% a cada conductor.  b.- el segundo punto lo apontoca en la cuantificación dada al daño moral, pérdida de chance, valor vida de acuerdo a cada legitimado y principalmente la circunstancia de haberse tomado como base para fijar la indemnización el SMVM vigente a la fecha de la sentencia, señalando que es un ingreso de "extrema miseria".-</w:t>
      </w:r>
    </w:p>
    <w:p>
      <w:pPr>
        <w:pStyle w:val="[Normal]"/>
        <w:spacing w:line="360" w:lineRule="auto"/>
        <w:ind w:firstLine="1134"/>
        <w:jc w:val="both"/>
        <w:rPr>
          <w:lang w:val="es-AR" w:eastAsia="es-AR" w:bidi="es-AR"/>
        </w:rPr>
      </w:pPr>
      <w:r>
        <w:rPr>
          <w:lang w:val="es-AR" w:eastAsia="es-AR" w:bidi="es-AR"/>
        </w:rPr>
        <w:t xml:space="preserve">2) </w:t>
      </w:r>
      <w:r>
        <w:rPr>
          <w:b/>
          <w:lang w:val="es-AR" w:eastAsia="es-AR" w:bidi="es-AR"/>
        </w:rPr>
        <w:t xml:space="preserve">Agravios Evangelina Hereñú</w:t>
      </w:r>
      <w:r>
        <w:rPr>
          <w:lang w:val="es-AR" w:eastAsia="es-AR" w:bidi="es-AR"/>
        </w:rPr>
        <w:t xml:space="preserve"> en representación de su hijo menor Victorio Smith y Danilo Smith con el patrocinio letrado de la Dra. Mariana Portella Real quien se duele de la condena que alcanza a Danilo León Smith y Victorio Smith en calidad de herederos de Silvio Fernando Smith señalando que no hay constancia que se haya realizado la sucesión de Silvio, puntualizando entonces el agravio sobre la presunción de la calidad de heredero y que se haya atribuido responsabilidad ilimitada cuando el 2311 del CCCN limita la misma al valor del acervo salvo aceptación pura y simple que aquí no existió a su decir.  Señala que la omisión de tratar el tema de la legitimación convierte al fallo en incongruente.</w:t>
      </w:r>
    </w:p>
    <w:p>
      <w:pPr>
        <w:pStyle w:val="[Normal]"/>
        <w:spacing w:line="360" w:lineRule="auto"/>
        <w:ind w:firstLine="1134"/>
        <w:jc w:val="both"/>
        <w:rPr>
          <w:lang w:val="es-AR" w:eastAsia="es-AR" w:bidi="es-AR"/>
        </w:rPr>
      </w:pPr>
      <w:r>
        <w:rPr>
          <w:lang w:val="es-AR" w:eastAsia="es-AR" w:bidi="es-AR"/>
        </w:rPr>
        <w:t xml:space="preserve">El otro punto lo asienta sobre la atribución de culpa exclusiva al conductor del Peugeot descartando la concurrencia causal con el camión, señalando que el informe accidentológico oficial no excluyen de modo concluyente la posible maniobra evasiva del camión ni la existencia de factores de riesgo compartidos.</w:t>
      </w:r>
    </w:p>
    <w:p>
      <w:pPr>
        <w:pStyle w:val="[Normal]"/>
        <w:spacing w:line="360" w:lineRule="auto"/>
        <w:ind w:firstLine="1134"/>
        <w:jc w:val="both"/>
        <w:rPr>
          <w:lang w:val="es-AR" w:eastAsia="es-AR" w:bidi="es-AR"/>
        </w:rPr>
      </w:pPr>
      <w:r>
        <w:rPr>
          <w:lang w:val="es-AR" w:eastAsia="es-AR" w:bidi="es-AR"/>
        </w:rPr>
        <w:t xml:space="preserve">Por ultimo ataca la imposición de costas a su parte ya que conforme el art. 118 de la ley 17418 dice que la citada en garantía Caja de seguros S. A. debe responder por la indemnización principal y por las costas del proceso dado que el Tribunal reconoció la vigencia de la póliza.</w:t>
      </w:r>
    </w:p>
    <w:p>
      <w:pPr>
        <w:pStyle w:val="[Normal]"/>
        <w:spacing w:line="360" w:lineRule="auto"/>
        <w:ind w:firstLine="1134"/>
        <w:jc w:val="both"/>
        <w:rPr>
          <w:lang w:val="es-AR" w:eastAsia="es-AR" w:bidi="es-AR"/>
        </w:rPr>
      </w:pPr>
      <w:r>
        <w:rPr>
          <w:lang w:val="es-AR" w:eastAsia="es-AR" w:bidi="es-AR"/>
        </w:rPr>
        <w:t xml:space="preserve">3)</w:t>
      </w:r>
      <w:r>
        <w:rPr>
          <w:b/>
          <w:lang w:val="es-AR" w:eastAsia="es-AR" w:bidi="es-AR"/>
        </w:rPr>
        <w:t xml:space="preserve"> Agravios de Pablo Raúl Smith con el patrocinio letrado de la Dra. Mara Lis Selva</w:t>
      </w:r>
      <w:r>
        <w:rPr>
          <w:lang w:val="es-AR" w:eastAsia="es-AR" w:bidi="es-AR"/>
        </w:rPr>
        <w:t xml:space="preserve"> señala: a) errónea valoración de la prueba pericial arbitrariedad en la apreciación del informe del Ingeniero Ferretti, en punto a que ambos intervinientes tienen el carácter de embistente y embestidor, que no haya considerado que el vehículo de mayor porte tiene una presunción de responsabilidad cuando entra en contacto  colisión con uno de menor porte, señalando que la sentencia se limita a constatar la invasión de carril sin analizar si el conductor del camión obró con prudencia y diligencia exigible aun, profesional de un rodado de ta magnitud.-b) se duele contra la imposición de costas a su parte.</w:t>
      </w:r>
    </w:p>
    <w:p>
      <w:pPr>
        <w:pStyle w:val="[Normal]"/>
        <w:spacing w:line="360" w:lineRule="auto"/>
        <w:ind w:firstLine="1134"/>
        <w:jc w:val="both"/>
        <w:rPr>
          <w:lang w:val="es-AR" w:eastAsia="es-AR" w:bidi="es-AR"/>
        </w:rPr>
      </w:pPr>
      <w:r>
        <w:rPr>
          <w:lang w:val="es-AR" w:eastAsia="es-AR" w:bidi="es-AR"/>
        </w:rPr>
        <w:t xml:space="preserve">4)</w:t>
      </w:r>
      <w:r>
        <w:rPr>
          <w:b/>
          <w:lang w:val="es-AR" w:eastAsia="es-AR" w:bidi="es-AR"/>
        </w:rPr>
        <w:t xml:space="preserve"> Agravios Dr. Esteban Javier Lanata </w:t>
      </w:r>
      <w:r>
        <w:rPr>
          <w:lang w:val="es-AR" w:eastAsia="es-AR" w:bidi="es-AR"/>
        </w:rPr>
        <w:t xml:space="preserve">en representación de Caja de Seguros S.A. : Señala que fue indebidamente valorado el informe contable que daba cuenta que el seguro contratado se hallaba impago al momento del siniestro 18/07/2028 o sea que la cuota de la prima previa al siniestro no fue abonada, y que ello surge del informe pericial, reprochando al juez apartarse de la pericia.  Dice que no hay elemento alguno que permita corroborar la presunción a que arribara el aquo de la existencia de fondos suficientes en la cuenta del Sr. Smith para hacer frente al vencimiento de la póliza. Contrariamente a lo sostenido indica que la compañía no se negó a recibir el pago sino que el pago fue rechazado por el propio banco al no haber fondos disponibles en la cuenta del titular.</w:t>
      </w:r>
    </w:p>
    <w:p>
      <w:pPr>
        <w:pStyle w:val="[Normal]"/>
        <w:spacing w:line="360" w:lineRule="auto"/>
        <w:ind w:firstLine="1134"/>
        <w:jc w:val="both"/>
        <w:rPr>
          <w:lang w:val="es-AR" w:eastAsia="es-AR" w:bidi="es-AR"/>
        </w:rPr>
      </w:pPr>
      <w:r>
        <w:rPr>
          <w:lang w:val="es-AR" w:eastAsia="es-AR" w:bidi="es-AR"/>
        </w:rPr>
        <w:t xml:space="preserve">Ataca la preeminencia de la legislación de consumo dada por el operador de grado, cuestiona el procedimiento señalando que no hubo intervención del Ministerio Público.</w:t>
      </w:r>
    </w:p>
    <w:p>
      <w:pPr>
        <w:pStyle w:val="[Normal]"/>
        <w:spacing w:line="360" w:lineRule="auto"/>
        <w:ind w:firstLine="1134"/>
        <w:jc w:val="both"/>
        <w:rPr>
          <w:lang w:val="es-AR" w:eastAsia="es-AR" w:bidi="es-AR"/>
        </w:rPr>
      </w:pPr>
      <w:r>
        <w:rPr>
          <w:lang w:val="es-AR" w:eastAsia="es-AR" w:bidi="es-AR"/>
        </w:rPr>
        <w:t xml:space="preserve">Y de modo subsidiario para el supuesto de no prosperar el anterior punto de queja plantea su disgusto contra la condena concurrente a la compañía de seguro y no en la medida del contrato , citando fallos al respecto.-</w:t>
      </w:r>
    </w:p>
    <w:p>
      <w:pPr>
        <w:pStyle w:val="[Normal]"/>
        <w:spacing w:line="360" w:lineRule="auto"/>
        <w:ind w:firstLine="1134"/>
        <w:jc w:val="both"/>
        <w:rPr>
          <w:lang w:val="es-AR" w:eastAsia="es-AR" w:bidi="es-AR"/>
        </w:rPr>
      </w:pPr>
      <w:r>
        <w:rPr>
          <w:lang w:val="es-AR" w:eastAsia="es-AR" w:bidi="es-AR"/>
        </w:rPr>
        <w:t xml:space="preserve">A su turno evacua el traslado Evangelina Hereñú en representación de su hijo menor Victorio Smith con el patrocinio letrado de Mariana Portella Real, también lo hace el Dr. Gustavo Jure como apoderado de La Segunda Cooperativa Limitada de Seguros Generales y como apoderado de Lucas David Romano.-</w:t>
      </w:r>
    </w:p>
    <w:p>
      <w:pPr>
        <w:pStyle w:val="[Normal]"/>
        <w:spacing w:line="360" w:lineRule="auto"/>
        <w:ind w:firstLine="1134"/>
        <w:jc w:val="both"/>
        <w:rPr>
          <w:lang w:val="es-AR" w:eastAsia="es-AR" w:bidi="es-AR"/>
        </w:rPr>
      </w:pPr>
      <w:r>
        <w:rPr>
          <w:lang w:val="es-AR" w:eastAsia="es-AR" w:bidi="es-AR"/>
        </w:rPr>
        <w:t xml:space="preserve">Responde también Pablo Raúl Smith con el patrocinio de Mara Lis Selva, Esteban Javier Lanata por Caja de Seguros S. A., Pablo Dib en calidad de apoderado de los actores.</w:t>
      </w:r>
    </w:p>
    <w:p>
      <w:pPr>
        <w:pStyle w:val="[Normal]"/>
        <w:spacing w:line="360" w:lineRule="auto"/>
        <w:ind w:firstLine="1134"/>
        <w:jc w:val="both"/>
        <w:rPr>
          <w:lang w:val="es-AR" w:eastAsia="es-AR" w:bidi="es-AR"/>
        </w:rPr>
      </w:pPr>
      <w:r>
        <w:rPr>
          <w:lang w:val="es-AR" w:eastAsia="es-AR" w:bidi="es-AR"/>
        </w:rPr>
        <w:t xml:space="preserve"> 5) </w:t>
      </w:r>
      <w:r>
        <w:rPr>
          <w:b/>
          <w:lang w:val="es-AR" w:eastAsia="es-AR" w:bidi="es-AR"/>
        </w:rPr>
        <w:t xml:space="preserve">Entrando a resolver</w:t>
      </w:r>
      <w:r>
        <w:rPr>
          <w:lang w:val="es-AR" w:eastAsia="es-AR" w:bidi="es-AR"/>
        </w:rPr>
        <w:t xml:space="preserve"> la plataforma fáctica da cuenta de un luctuoso  accidente ocurrido el 18/07/2018 a la altura del Km 462,5 de la Ruta Nacional Nro. 8, aproximadamente a las 14.30 hs. p.m. en el que participaron un automóvil Peugeot Dominio FEF 339 conducido en el evento por Silvio Fernando Smith, quien circulaba en dirección Oeste-Este y un camión Fiat Dominio KSM 031 en sentido Oeste-Este, al comando de Raúl Oscar Barbona siendo su  propietario Lucas David Romano.</w:t>
      </w:r>
    </w:p>
    <w:p>
      <w:pPr>
        <w:pStyle w:val="[Normal]"/>
        <w:spacing w:line="360" w:lineRule="auto"/>
        <w:ind w:firstLine="1134"/>
        <w:jc w:val="both"/>
        <w:rPr>
          <w:lang w:val="es-AR" w:eastAsia="es-AR" w:bidi="es-AR"/>
        </w:rPr>
      </w:pPr>
      <w:r>
        <w:rPr>
          <w:lang w:val="es-AR" w:eastAsia="es-AR" w:bidi="es-AR"/>
        </w:rPr>
        <w:t xml:space="preserve">Las críticas se expanden por distintos carriles, a los que daré tratamiento en forma conjunta, priorizando aquellos disgustos traídos respecto de la responsabilidad exclusiva que le fuera atribuida al conductor del rodado Peugeot, (otrora fallecido en el evento) pretendiendo los dolientes se imputen aportes concurrentes con el conductor del vehículo de mayor porte, provocándose una colisión que tuvo consecuencias nefastas, en tanto perdieron la vida cinco personas, todos ocupantes del rodado Peugeot: Silvio Fernando Smith, Noelia Samanta Svilicich y su hija menor de edad Iara Emilse Rodriguez Svilicich, Lucía Belén Nieva y Carlos Emanuel González.</w:t>
      </w:r>
    </w:p>
    <w:p>
      <w:pPr>
        <w:pStyle w:val="[Normal]"/>
        <w:spacing w:line="360" w:lineRule="auto"/>
        <w:ind w:firstLine="1134"/>
        <w:jc w:val="both"/>
        <w:rPr>
          <w:lang w:val="es-AR" w:eastAsia="es-AR" w:bidi="es-AR"/>
        </w:rPr>
      </w:pPr>
      <w:r>
        <w:rPr>
          <w:lang w:val="es-AR" w:eastAsia="es-AR" w:bidi="es-AR"/>
        </w:rPr>
        <w:t xml:space="preserve">6) Liminarmente voy a analizar el punto atinente a la responsabilidad, desplegado por varios contendientes en distintos sentidos, unos solicitando la atribución exclusiva al conductor del Peugeot, otros imputando total responsabilidad al camionero, otros pretendiendo un reparto causal, con los fundamentos que han vertido en sus escritos electrónicos y que he reseñado.</w:t>
      </w:r>
    </w:p>
    <w:p>
      <w:pPr>
        <w:pStyle w:val="[Normal]"/>
        <w:spacing w:line="360" w:lineRule="auto"/>
        <w:ind w:firstLine="1134"/>
        <w:jc w:val="both"/>
        <w:rPr>
          <w:lang w:val="es-AR" w:eastAsia="es-AR" w:bidi="es-AR"/>
        </w:rPr>
      </w:pPr>
      <w:r>
        <w:rPr>
          <w:lang w:val="es-AR" w:eastAsia="es-AR" w:bidi="es-AR"/>
        </w:rPr>
        <w:t xml:space="preserve">El operador de grado ha seleccionado los medios de prueba producidos en autos y en esta selección coincido, aunque propongo analizar detenidamente las conclusiones periciales y el resultado alcanzado por el juez primero, para comprobar si se llega al mismo o a uno distinto.</w:t>
      </w:r>
    </w:p>
    <w:p>
      <w:pPr>
        <w:pStyle w:val="[Normal]"/>
        <w:spacing w:line="360" w:lineRule="auto"/>
        <w:ind w:firstLine="1134"/>
        <w:jc w:val="both"/>
        <w:rPr>
          <w:lang w:val="es-AR" w:eastAsia="es-AR" w:bidi="es-AR"/>
        </w:rPr>
      </w:pPr>
      <w:r>
        <w:rPr>
          <w:lang w:val="es-AR" w:eastAsia="es-AR" w:bidi="es-AR"/>
        </w:rPr>
        <w:t xml:space="preserve">Inicialmente han quedado demostrado los vehículos intervinientes en el siniestro, por un lado el Camión Iveco, Dominio KSM031 y un automóvil Peugeot dominio FEF339, el primero conducido por Raúl Oscar Barbona y el segundo por Silvio Fernando Smith, que los titulares dominiales eran Pablo Raúl Smith del Peugeot y Lucas David Romano del camión Iveco respectivamente.  Que fallecieron todos los ocupantes del Peugeot, en total 5 personas y que el punto del siniestro fue el Km 462,5 de la Ruta Nacional nro 8.  Hasta aquí no hay discordancia.-</w:t>
      </w:r>
    </w:p>
    <w:p>
      <w:pPr>
        <w:pStyle w:val="[Normal]"/>
        <w:spacing w:line="360" w:lineRule="auto"/>
        <w:ind w:firstLine="1134"/>
        <w:jc w:val="both"/>
        <w:rPr>
          <w:lang w:val="es-AR" w:eastAsia="es-AR" w:bidi="es-AR"/>
        </w:rPr>
      </w:pPr>
      <w:r>
        <w:rPr>
          <w:lang w:val="es-AR" w:eastAsia="es-AR" w:bidi="es-AR"/>
        </w:rPr>
        <w:t xml:space="preserve">Como dije el operador ha acudido a dos medios de prueba: el informe de accidentología vial practicado por Pamela Moyano, Licenciada en Criminalística de la Sección Accidentología Vial de la Dirección General de Policía Judicial que se agregó por PDF a la causa civil y que resulta prueba común a las partes, extrayéndose de ese dictamen Nro 2993299 algunas conclusiones que fueron luego ratificadas por el Perito Mecánico Oficial Thelmo Ferretti.-</w:t>
      </w:r>
    </w:p>
    <w:p>
      <w:pPr>
        <w:pStyle w:val="[Normal]"/>
        <w:spacing w:line="360" w:lineRule="auto"/>
        <w:ind w:firstLine="1134"/>
        <w:jc w:val="both"/>
        <w:rPr>
          <w:lang w:val="es-AR" w:eastAsia="es-AR" w:bidi="es-AR"/>
        </w:rPr>
      </w:pPr>
      <w:r>
        <w:rPr>
          <w:lang w:val="es-AR" w:eastAsia="es-AR" w:bidi="es-AR"/>
        </w:rPr>
        <w:t xml:space="preserve">Al transcribir el objeto de la pericia la experta menciona varios objetivos a contestar pedidos por el Fiscal actuante: mecánica del accidente, circunstancias previas al accidente en forma secuencial hasta su producción, lugar exacto en que se produjo el impacto entre los vehículos mencionados, la trayectoria, el lugar de circulación teniendo en cuenta la posición final de los rodados, velocidad de circulación al momento del accidente y si alguno se encontraba detenido instantes antes de la colisión, causas que a juicio del personal idóneo habrían llevado a que ocurra el siniestro.</w:t>
      </w:r>
    </w:p>
    <w:p>
      <w:pPr>
        <w:pStyle w:val="[Normal]"/>
        <w:spacing w:line="360" w:lineRule="auto"/>
        <w:ind w:firstLine="1134"/>
        <w:jc w:val="both"/>
        <w:rPr>
          <w:lang w:val="es-AR" w:eastAsia="es-AR" w:bidi="es-AR"/>
        </w:rPr>
      </w:pPr>
      <w:r>
        <w:rPr>
          <w:lang w:val="es-AR" w:eastAsia="es-AR" w:bidi="es-AR"/>
        </w:rPr>
        <w:t xml:space="preserve">El informe releva estos datos que no voy a reproducir porque se encuentra adjuntado al PDF pero voy a detenerme cuando intenta descifrar la probable mecánica del accidente rescatándose que "era una zona con trazado prácticamente recto, y que por cuestiones que no son posibles de determinar el automóvil habría invadido el carril Norte, impactando frontalmente con el camión Iveco, que circulaba momentos antes en sentido contrario, lo que extrae según la experta de la posición relativa de los móviles al momento del mismo, a la mayor energía que poseía el camión, entre otros, es que el automóvil se habría introducido bajo el sector frontal del camión (lo cual infiere por la magnitud de los daños, las lesiones de las victimas y el desplazamiento del tren delantero del camión Iveco), siendo el rodado menor arrastrado en retroceso por el camión, imprimiendo dicha trayectoria las huellas de arrastre metálico y una marca de rodadura de neumático observada en las fotografías de fs. 22, que indicaría su posterior movimiento, luego de que se hayan depositado fluido sobre la carpeta asfáltica, experimentando su sector trasero un giro en sentido anti horario de 90 grados aproximadamente, quedando así el automóvil en su posición final en forma perpendicular al trazado de la vía, sobre el carril por el que previamente venía circulando con su frente ubicado hacia el cardinal Norte.  Y luego describe que "el camión instantes previos a la colisión habría realizado una maniobra evasiva consistente en un cambio de dirección hacia el cardinal Norte (evidenciado por la huella de neumático del camión en banquina Norte a la altura del posible punto de impacto y de frenado de acuerdo a la huella de neumático relevada en el lugar y fijada en croquis de fs. 22, no pudiendo evitar a su decir embestir al auto debido al escaso tiempo-espacio, dirigiéndose posteriormente a la banquina Norte, adonde queda en su posición final con su frente ubicado hacia el Cardinal Noroeste".</w:t>
      </w:r>
    </w:p>
    <w:p>
      <w:pPr>
        <w:pStyle w:val="[Normal]"/>
        <w:spacing w:line="360" w:lineRule="auto"/>
        <w:ind w:firstLine="1134"/>
        <w:jc w:val="both"/>
        <w:rPr>
          <w:lang w:val="es-AR" w:eastAsia="es-AR" w:bidi="es-AR"/>
        </w:rPr>
      </w:pPr>
      <w:r>
        <w:rPr>
          <w:lang w:val="es-AR" w:eastAsia="es-AR" w:bidi="es-AR"/>
        </w:rPr>
        <w:t xml:space="preserve">También señala que no puede determinar la velocidad de circulación del rodado menor, y según cálculos que realiza el camión al momento de accionar los frenos podría estimarlo en una velocidad de 64,6 km/h como velocidad mínima.</w:t>
      </w:r>
    </w:p>
    <w:p>
      <w:pPr>
        <w:pStyle w:val="[Normal]"/>
        <w:spacing w:line="360" w:lineRule="auto"/>
        <w:ind w:firstLine="1134"/>
        <w:jc w:val="both"/>
        <w:rPr>
          <w:lang w:val="es-AR" w:eastAsia="es-AR" w:bidi="es-AR"/>
        </w:rPr>
      </w:pPr>
      <w:r>
        <w:rPr>
          <w:lang w:val="es-AR" w:eastAsia="es-AR" w:bidi="es-AR"/>
        </w:rPr>
        <w:t xml:space="preserve">Reiterando en el punto e) como se menciona en la hipótesis de la mecánica del accidente que no es posible determinar el motivo por el cual el automóvil Peugeot 206 habría invadido el carril de circulación contrario de la Ruta Nacional nro. 8 acción que habría desencadenado el siniestro entre ambos rodados.</w:t>
      </w:r>
    </w:p>
    <w:p>
      <w:pPr>
        <w:pStyle w:val="[Normal]"/>
        <w:spacing w:line="360" w:lineRule="auto"/>
        <w:ind w:firstLine="1134"/>
        <w:jc w:val="both"/>
        <w:rPr>
          <w:lang w:val="es-AR" w:eastAsia="es-AR" w:bidi="es-AR"/>
        </w:rPr>
      </w:pPr>
      <w:r>
        <w:rPr>
          <w:lang w:val="es-AR" w:eastAsia="es-AR" w:bidi="es-AR"/>
        </w:rPr>
        <w:t xml:space="preserve">Y por otra parte  la pericia mecánica presentada el 18/10/2023 por el Perito Oficial Ingeniero Mecánico de la Oficina Pericial Departamental, quien enumera los elementos tenidos en cuenta (acta simple, fs. 2 a 9, radiograma de fs. 10, acta de inspección ocular de fs 11 a 16, fotocopias blanco y negro muy poco visibles de fs. 27 a 85, constatación de daños de fs. 113 del Peugeot, constatación de daños de fs. 131 del camión, informe pericial policía científica de fs. 287 a 288 y fotografías de croquis de fs. 327 y 328), adhiriendo el experto en un todo  a la pericia confeccionada en la IPP de Policía Científica.</w:t>
      </w:r>
    </w:p>
    <w:p>
      <w:pPr>
        <w:pStyle w:val="[Normal]"/>
        <w:spacing w:line="360" w:lineRule="auto"/>
        <w:ind w:firstLine="1134"/>
        <w:jc w:val="both"/>
        <w:rPr>
          <w:lang w:val="es-AR" w:eastAsia="es-AR" w:bidi="es-AR"/>
        </w:rPr>
      </w:pPr>
      <w:r>
        <w:rPr>
          <w:lang w:val="es-AR" w:eastAsia="es-AR" w:bidi="es-AR"/>
        </w:rPr>
        <w:t xml:space="preserve">Si bien es cierto que la hipótesis desplegada en el informe de la Policía Científica (Sumario nro. 248/18 de Canals Pcía. de Córdoba), en actuaciones labradas con motivo del accidente allí ocurrido y que fuera agregada a las constancias policiales es conjetural, -como lo apunta la quejosa - en tanto describe el evento en términos condicionales respecto al modo de ocurrencia también es cierto que no se ha traído otra prueba que permita acreditar o tan siquiera inferir un modo distinto de producción del siniestro.</w:t>
      </w:r>
    </w:p>
    <w:p>
      <w:pPr>
        <w:pStyle w:val="[Normal]"/>
        <w:spacing w:line="360" w:lineRule="auto"/>
        <w:ind w:firstLine="1134"/>
        <w:jc w:val="both"/>
        <w:rPr>
          <w:lang w:val="es-AR" w:eastAsia="es-AR" w:bidi="es-AR"/>
        </w:rPr>
      </w:pPr>
      <w:r>
        <w:rPr>
          <w:lang w:val="es-AR" w:eastAsia="es-AR" w:bidi="es-AR"/>
        </w:rPr>
        <w:t xml:space="preserve">A este elemento probatorio recogido por el juez para alcanzar sus conclusiones se aduna la experticia producida en autos por el Perito Ingeniero Thelmo Ferretti presentada el 18 de octubre de 2023, que adhiere a la postura sostenida en ese informe  en cuanto a la mecánica del hecho. Ambos informaron dieron motivación suficiente para imputar responsabilidad total y exclusiva al conductor del Peugeot; atendiendo la queja traída y desplegada por la parte actora representada por el Dr. Pablo Dib y la Dra. Mara Lis Selva patrocinando a Pablo Raúl Smith en calidad de heredero, no hallo fundamentos que me permitan sostener una solución diferente a la alcanzada como se pretende en los agravios.</w:t>
      </w:r>
    </w:p>
    <w:p>
      <w:pPr>
        <w:pStyle w:val="[Normal]"/>
        <w:spacing w:line="360" w:lineRule="auto"/>
        <w:ind w:firstLine="1134"/>
        <w:jc w:val="both"/>
        <w:rPr>
          <w:lang w:val="es-AR" w:eastAsia="es-AR" w:bidi="es-AR"/>
        </w:rPr>
      </w:pPr>
      <w:r>
        <w:rPr>
          <w:lang w:val="es-AR" w:eastAsia="es-AR" w:bidi="es-AR"/>
        </w:rPr>
        <w:t xml:space="preserve">En efecto, de la prueba arrimada surge concretamente la ruptura  del nexo causal que la conducta de Silvio Fernando Smith provocara, prevista específicamente en el art. 1729 del CCCN y su doctrina, y que el sentenciante de grado ha motivado en una serie de circunstancias concretas que ya he analizado, sobre los que la prueba rendida y valorada han dado acreditaciones suficientes para considerar como razonable el proceso analítico alcanzado en el decisorio.</w:t>
      </w:r>
    </w:p>
    <w:p>
      <w:pPr>
        <w:pStyle w:val="[Normal]"/>
        <w:spacing w:line="360" w:lineRule="auto"/>
        <w:ind w:firstLine="1134"/>
        <w:jc w:val="both"/>
        <w:rPr>
          <w:lang w:val="es-AR" w:eastAsia="es-AR" w:bidi="es-AR"/>
        </w:rPr>
      </w:pPr>
      <w:r>
        <w:rPr>
          <w:lang w:val="es-AR" w:eastAsia="es-AR" w:bidi="es-AR"/>
        </w:rPr>
        <w:t xml:space="preserve">Al respecto, es menester señalar que la relación de causalidad jurídicamente relevante no se edifica sobre una noción estrictamente material de causa, puesto que no es suficiente con que el daño reconozca una razón determinante en el orden físico.  El análisis jurídico despega de la causalidad natural, pero estructura el nexo causal en torno al obrar humano. (Cf. MOREA, Adrián Oscar, La relación de causalidad en el nuevo derecho de daños. Publicado en Ed. Microjuris. Fecha: 29-abr-2014. Cita: MJ-DOC-6690-AR | MJD6690).</w:t>
      </w:r>
    </w:p>
    <w:p>
      <w:pPr>
        <w:pStyle w:val="[Normal]"/>
        <w:spacing w:line="360" w:lineRule="auto"/>
        <w:ind w:firstLine="1134"/>
        <w:jc w:val="both"/>
        <w:rPr>
          <w:lang w:val="es-AR" w:eastAsia="es-AR" w:bidi="es-AR"/>
        </w:rPr>
      </w:pPr>
      <w:r>
        <w:rPr>
          <w:lang w:val="es-AR" w:eastAsia="es-AR" w:bidi="es-AR"/>
        </w:rPr>
        <w:t xml:space="preserve">Tampoco el derecho argentino parte de una noción jurídica pura de causalidad, en el sentido de que la causalidad jurídica también debe contar con un correlato real insoslayable.  Así pues la causalidad adecuada trasunta un concepto híbrido que integra valoraciones jurídicas con datos de la realidad fáctica (Cf. DIEZ PICAZO, Luis, Derecho de daños, Madrid, Ed. Civitas, 2000, pag. 322). </w:t>
      </w:r>
    </w:p>
    <w:p>
      <w:pPr>
        <w:pStyle w:val="[Normal]"/>
        <w:spacing w:line="360" w:lineRule="auto"/>
        <w:ind w:firstLine="1134"/>
        <w:jc w:val="both"/>
        <w:rPr>
          <w:lang w:val="es-AR" w:eastAsia="es-AR" w:bidi="es-AR"/>
        </w:rPr>
      </w:pPr>
      <w:r>
        <w:rPr>
          <w:lang w:val="es-AR" w:eastAsia="es-AR" w:bidi="es-AR"/>
        </w:rPr>
        <w:t xml:space="preserve">Esto ha conducido al iusfilósofo polaco Emil Lask ha sostener que "el carácter de adecuabilidad jurídicamente relevante de una causalidad puede ser establecido únicamente sobre la base de criterios prácticos, asentados en consideraciones de oportunidad y de justicia; por ejemplo -como acontece frecuentemente en la literatura civil y penal-, de acuerdo con la ´previsibilidad´ o ´calculabilidad´ del resultado, que se determina mediante prognosis objetiva posterior" (LASK, Emil, Filosofía jurídica, Ed. Ediciones Olejnik, Chile, 2021, pag. 68).</w:t>
      </w:r>
    </w:p>
    <w:p>
      <w:pPr>
        <w:pStyle w:val="[Normal]"/>
        <w:spacing w:line="360" w:lineRule="auto"/>
        <w:ind w:firstLine="1134"/>
        <w:jc w:val="both"/>
        <w:rPr>
          <w:lang w:val="es-AR" w:eastAsia="es-AR" w:bidi="es-AR"/>
        </w:rPr>
      </w:pPr>
      <w:r>
        <w:rPr>
          <w:lang w:val="es-AR" w:eastAsia="es-AR" w:bidi="es-AR"/>
        </w:rPr>
        <w:t xml:space="preserve">En definitiva, los agravios desplegados en este capítulo  no logran conmover la razonabilidad de la atribución causal  al conductor del Peugeot. Ello así por cuanto el resultado dañoso se produjo en el marco de una maniobra de invasión hacia el carril contrario, que no ha podido ser neutralizada por otras pruebas.</w:t>
      </w:r>
    </w:p>
    <w:p>
      <w:pPr>
        <w:pStyle w:val="[Normal]"/>
        <w:spacing w:line="360" w:lineRule="auto"/>
        <w:ind w:firstLine="1134"/>
        <w:jc w:val="both"/>
        <w:rPr>
          <w:lang w:val="es-AR" w:eastAsia="es-AR" w:bidi="es-AR"/>
        </w:rPr>
      </w:pPr>
      <w:r>
        <w:rPr>
          <w:lang w:val="es-AR" w:eastAsia="es-AR" w:bidi="es-AR"/>
        </w:rPr>
        <w:t xml:space="preserve"> Considero que no se verifica en el fallo apelado un déficit de fundamentación ni una omisión probatoria que habilite modificar o desplazar la responsabilidad decidida, sino, por el contrario, un ejercicio razonado de graduación causal que pondera de forma conjunta la conducta del damnificado y la maniobra invasiva  conforme a los parámetros de causalidad adecuada (art. 384/386 del CPCC y su doctrina).</w:t>
      </w:r>
    </w:p>
    <w:p>
      <w:pPr>
        <w:pStyle w:val="[Normal]"/>
        <w:spacing w:line="360" w:lineRule="auto"/>
        <w:ind w:firstLine="1134"/>
        <w:jc w:val="both"/>
        <w:rPr>
          <w:lang w:val="es-AR" w:eastAsia="es-AR" w:bidi="es-AR"/>
        </w:rPr>
      </w:pPr>
      <w:r>
        <w:rPr>
          <w:lang w:val="es-AR" w:eastAsia="es-AR" w:bidi="es-AR"/>
        </w:rPr>
        <w:t xml:space="preserve">El dictamen pericial producido en esta sede y que ratifica el practicado en las actuaciones labradas en la Comisaría de Distrito de Canals agregado por las partes, se funda en principios técnicos científicos que no han sido neutralizados por otros elementos de prueba que permitan el apartamiento del mismo (art. 474 del CPCC y su doctrina).  Más allá del disgusto de los quejosos quienes pretenden ensayar una versión distinta de los hechos y sus circunstancias que se motivan en su fastidio contra lo decidido y no en cuestiones verificables por otras pruebas traídas en forma certera a este proceso.</w:t>
      </w:r>
    </w:p>
    <w:p>
      <w:pPr>
        <w:pStyle w:val="[Normal]"/>
        <w:spacing w:line="360" w:lineRule="auto"/>
        <w:ind w:firstLine="1134"/>
        <w:jc w:val="both"/>
        <w:rPr>
          <w:lang w:val="es-AR" w:eastAsia="es-AR" w:bidi="es-AR"/>
        </w:rPr>
      </w:pPr>
      <w:r>
        <w:rPr>
          <w:lang w:val="es-AR" w:eastAsia="es-AR" w:bidi="es-AR"/>
        </w:rPr>
        <w:t xml:space="preserve">Sabido es que la prueba debe ser valorada en su totalidad, tratando de vincular armoniosamente sus distintos elementos, de conformidad con las reglas impuestas por el art. 384 del CPCC, puesto que el proceso debe ser tomado en su desarrollo integral y ponderado en múltiple unidad: las pruebas arrimadas unas con las otras y todas entre sí, resultando censurable la descomposición de los elementos, disgregándolos para considerarlos aislada y separadamente Cfr SCBA DBA v. 135, p. 138.</w:t>
      </w:r>
    </w:p>
    <w:p>
      <w:pPr>
        <w:pStyle w:val="[Normal]"/>
        <w:spacing w:line="360" w:lineRule="auto"/>
        <w:ind w:firstLine="1134"/>
        <w:jc w:val="both"/>
        <w:rPr>
          <w:lang w:val="es-AR" w:eastAsia="es-AR" w:bidi="es-AR"/>
        </w:rPr>
      </w:pPr>
      <w:r>
        <w:rPr>
          <w:lang w:val="es-AR" w:eastAsia="es-AR" w:bidi="es-AR"/>
        </w:rPr>
        <w:t xml:space="preserve">No puedo dejar de señalar la venerable enseñanza de Carnelutti, que  "el juez en la valoración en cuestión se suele encontrar en medio de un minúsculo cerco de luces, fuera del cual todo es tinieblas; detrás de él, el enigma del pasado y delante, el enigma del futuro. Ese minúsculo cerco es la prueba" (Carnelutti, La prueba civil, Ed Arayú) citado por Morello en "Códigos Procesales, Comentados y Anotados, T V-A.</w:t>
      </w:r>
    </w:p>
    <w:p>
      <w:pPr>
        <w:pStyle w:val="[Normal]"/>
        <w:spacing w:line="360" w:lineRule="auto"/>
        <w:ind w:firstLine="1134"/>
        <w:jc w:val="both"/>
        <w:rPr>
          <w:lang w:val="es-AR" w:eastAsia="es-AR" w:bidi="es-AR"/>
        </w:rPr>
      </w:pPr>
      <w:r>
        <w:rPr>
          <w:lang w:val="es-AR" w:eastAsia="es-AR" w:bidi="es-AR"/>
        </w:rPr>
        <w:t xml:space="preserve">Y en materia de certeza probatoria, se ha declarado que, acerca de un hecho que ha ocurrido de determinada manera la misma se alcanza, cuando concurren numerosos motivos para tener por cierto que no puede ser contrario. Cfr autor citado, T V-A.</w:t>
      </w:r>
    </w:p>
    <w:p>
      <w:pPr>
        <w:pStyle w:val="[Normal]"/>
        <w:spacing w:line="360" w:lineRule="auto"/>
        <w:ind w:firstLine="1134"/>
        <w:jc w:val="both"/>
        <w:rPr>
          <w:lang w:val="es-AR" w:eastAsia="es-AR" w:bidi="es-AR"/>
        </w:rPr>
      </w:pPr>
      <w:r>
        <w:rPr>
          <w:lang w:val="es-AR" w:eastAsia="es-AR" w:bidi="es-AR"/>
        </w:rPr>
        <w:t xml:space="preserve">Sobre el punto carga de la prueba, hay un abordaje expreso del Código Unificado cuando dispone en el art. 1734 del CCCN que salvo disposición en contrario la carga de la prueba de los factores de atribución y de las circunstancias eximentes corresponden a quien los alega, directivas éstas dirigidas al juez a fin del dictado de la sentencia ante la prueba escasa, incierta o insuficiente, norma que debe ser colegida con el art. 1744 CCCN en cuanto señala que el daño debe ser acreditado por quien lo invoca, excepto que la ley lo impute o lo presuma, o que surja notorio de los propios hechos; norma que trata la carga de la prueba relativa al daño.</w:t>
      </w:r>
    </w:p>
    <w:p>
      <w:pPr>
        <w:pStyle w:val="[Normal]"/>
        <w:spacing w:line="360" w:lineRule="auto"/>
        <w:ind w:firstLine="1134"/>
        <w:jc w:val="both"/>
        <w:rPr>
          <w:lang w:val="es-AR" w:eastAsia="es-AR" w:bidi="es-AR"/>
        </w:rPr>
      </w:pPr>
      <w:r>
        <w:rPr>
          <w:lang w:val="es-AR" w:eastAsia="es-AR" w:bidi="es-AR"/>
        </w:rPr>
        <w:t xml:space="preserve">No se trata de modificar en estos puntos el régimen específico procesal, sino que se ha legislado con una mayor apertura, recepcionando el art. 1735 especialmente la denominada doctrina de las cargas probatorias dinámicas (Fallos CSJN , 320:2716/17) que permite al operador meritar quien se encontraba en mejores condiciones de probar un hecho controvertido, evaluando la conducta procesal de las partes o el quiebre de colaboración de alguna de ellas.</w:t>
      </w:r>
    </w:p>
    <w:p>
      <w:pPr>
        <w:pStyle w:val="[Normal]"/>
        <w:spacing w:line="360" w:lineRule="auto"/>
        <w:ind w:firstLine="1134"/>
        <w:jc w:val="both"/>
        <w:rPr>
          <w:lang w:val="es-AR" w:eastAsia="es-AR" w:bidi="es-AR"/>
        </w:rPr>
      </w:pPr>
      <w:r>
        <w:rPr>
          <w:lang w:val="es-AR" w:eastAsia="es-AR" w:bidi="es-AR"/>
        </w:rPr>
        <w:t xml:space="preserve">Justamente el actor invocó y probó la existencia de una conducta como acto humano voluntaria, antijurídica, el daño y la relación de casualidad entre la aquella y las consecuencias dañosas, por tanto era al demandado a quien le competía probar la ruptura del nexo causal provocada por la víctima, lo que ha alcanzado en grado satisfactorio , y así fue  recogido por el aquo.  En tanto en su análisis no sólo se basó en presunciones sino que evaluó todos los elementos introducidos tanto en sede civil como penal, elementos que ya he reseñado supra. y que alcanzaron a formar la sana crítica razonada prevista en el art. 384 del CPCC.  Hubo un hecho probado y no desvirtuado por otras pruebas: que el conductor del rodado Peugeot invadió el carril contrario por el que venía circulando el camión Iveco y en esas circunstancias se produjo el siniestro que ocasionó la muerte de 5 personas.</w:t>
      </w:r>
    </w:p>
    <w:p>
      <w:pPr>
        <w:pStyle w:val="[Normal]"/>
        <w:spacing w:line="360" w:lineRule="auto"/>
        <w:ind w:firstLine="1134"/>
        <w:jc w:val="both"/>
        <w:rPr>
          <w:lang w:val="es-AR" w:eastAsia="es-AR" w:bidi="es-AR"/>
        </w:rPr>
      </w:pPr>
      <w:r>
        <w:rPr>
          <w:lang w:val="es-AR" w:eastAsia="es-AR" w:bidi="es-AR"/>
        </w:rPr>
        <w:t xml:space="preserve">Tal como señalara el Dr. Roberto Degleue en el precedente de este Tribunal Causa Nro. 3740/19 "... la norma citada, sin perjuicio de que no da mayores precisiones, sí nos otorga un estándar en la interpretación de prueba por parte de los jueces, que nos permite entre dos posturas antagónicas, como generalmente son las de la actora y demandada, optar por la conjetura que mayor probabilidad nos aparece en el razonamiento argumentativo de la sentencia, hipótesis sobre la cual en ningún momento se exige verdad absoluta, sino meramente que sea probable y relativa, y esto es lo que el a quo ha hecho al tomar las pruebas que le brindan la mayor certeza de como acontecieron los hechos que llegan a su decisión". </w:t>
      </w:r>
    </w:p>
    <w:p>
      <w:pPr>
        <w:pStyle w:val="[Normal]"/>
        <w:spacing w:line="360" w:lineRule="auto"/>
        <w:ind w:firstLine="1134"/>
        <w:jc w:val="both"/>
        <w:rPr>
          <w:lang w:val="es-AR" w:eastAsia="es-AR" w:bidi="es-AR"/>
        </w:rPr>
      </w:pPr>
      <w:r>
        <w:rPr>
          <w:lang w:val="es-AR" w:eastAsia="es-AR" w:bidi="es-AR"/>
        </w:rPr>
        <w:t xml:space="preserve">En la especie, maguer los disgustos traídos no se advierte en la valoración del juez apartamiento de las pruebas, sino que tomó las existentes para reconstruir el hecho y en su mérito determinar la total imputación al conductor del Peugeot, de modo que no existe arbitrariedad o apreciación meramente subjetiva en ello. </w:t>
      </w:r>
    </w:p>
    <w:p>
      <w:pPr>
        <w:pStyle w:val="[Normal]"/>
        <w:spacing w:line="360" w:lineRule="auto"/>
        <w:ind w:firstLine="1134"/>
        <w:jc w:val="both"/>
        <w:rPr>
          <w:lang w:val="es-AR" w:eastAsia="es-AR" w:bidi="es-AR"/>
        </w:rPr>
      </w:pPr>
      <w:r>
        <w:rPr>
          <w:lang w:val="es-AR" w:eastAsia="es-AR" w:bidi="es-AR"/>
        </w:rPr>
        <w:t xml:space="preserve">7) </w:t>
      </w:r>
      <w:r>
        <w:rPr>
          <w:b/>
          <w:lang w:val="es-AR" w:eastAsia="es-AR" w:bidi="es-AR"/>
        </w:rPr>
        <w:t xml:space="preserve">Enfoque normativo</w:t>
      </w:r>
      <w:r>
        <w:rPr>
          <w:lang w:val="es-AR" w:eastAsia="es-AR" w:bidi="es-AR"/>
        </w:rPr>
        <w:t xml:space="preserve">: A título ilustrativo me explayaré sobre algunos aspectos conceptuales en cuanto a la dinámica normativa aplicable en el nuevo sistema que rige en el Código Civil y Comercial Unificado en cuanto la función resarcitoria del daño está previsto a partir del art. 1716 del CCCN, estableciendo el art. 1721 de dicho cuerpo que la atribución de un daño al responsable puede basarse en factores objetivos o subjetivos, funcionando la atribución de la culpa de manera residual, definiéndose en el art. 1722 y 1723 CCCN el factor de atribución objetivo y en art. 1724 CCCN los factores subjetivos como la culpa y el dolo.  En el caso concreto de la imputación objetiva, contempla estas responsabilidades para: a) el factor riesgo o vicio de las cosas y actividades riesgosas o peligrosas (arts. 1757, 1758, 1733 inc e), b) factor equidad, (1742,1750) c) factor garantía (arts. 1753, 1723 y 1768), responsabilidad del principal por el hecho del dependiente (art. 1753) daños derivados de un accidente de tránsito (art. 1769 CCCN) junto a otras descripciones que no tiene sentido abordar aquí, d) factor exceso de la normal tolerancia entre vecinos (art. 1793 CCCN) y e) factor abuso del derecho (arts. 10 y 11).</w:t>
      </w:r>
    </w:p>
    <w:p>
      <w:pPr>
        <w:pStyle w:val="[Normal]"/>
        <w:spacing w:line="360" w:lineRule="auto"/>
        <w:ind w:firstLine="1134"/>
        <w:jc w:val="both"/>
        <w:rPr>
          <w:lang w:val="es-AR" w:eastAsia="es-AR" w:bidi="es-AR"/>
        </w:rPr>
      </w:pPr>
      <w:r>
        <w:rPr>
          <w:lang w:val="es-AR" w:eastAsia="es-AR" w:bidi="es-AR"/>
        </w:rPr>
        <w:t xml:space="preserve">Las disposiciones relativas a la responsabilidad objetiva deben colegirse con lo dispuesto en el art. 1758 CCCN que replica en cierto modo el antiguo art. 1113 del Código de Vélez y también ha de tenerse en cuenta lo dispuesto en el art. 1769 del CCCN que alude en forma directa a la responsabilidad derivada de la intervención de cosas que resulta aplicable a los daños causados por la circulación de vehículos.</w:t>
      </w:r>
    </w:p>
    <w:p>
      <w:pPr>
        <w:pStyle w:val="[Normal]"/>
        <w:spacing w:line="360" w:lineRule="auto"/>
        <w:ind w:firstLine="1134"/>
        <w:jc w:val="both"/>
        <w:rPr>
          <w:lang w:val="es-AR" w:eastAsia="es-AR" w:bidi="es-AR"/>
        </w:rPr>
      </w:pPr>
      <w:r>
        <w:rPr>
          <w:lang w:val="es-AR" w:eastAsia="es-AR" w:bidi="es-AR"/>
        </w:rPr>
        <w:t xml:space="preserve">Claramente entonces en la especie el factor de atribución de responsabilidad en la especie es el objetivo, en tanto en este siniestro intervinieron dos objetos creadores de riesgo (un camión Iveco de gran porte y un rodado Peugeot de menor porte) ambos conductores al comando de cosas generadoras de riesgo potencial, en la cual sin duda alguna ha de analizarse los aportes causales de cada uno de los protagonistas. La recepción en el nuevo Código Unificado aplicó sin duda el fallo plenario de la Justicia Nacional en lo Civil in re "Valdez c. El puente SAC" que como es sabido pone en juego las presunciones de causalidad derivadas de la potencialidad dañosa "activa" y equivalente a cada dueño o guardían por los daños causados por el y sufridos por el otro, con fundamento objetivo en el riesgo salvo que pruebe o acredite la existencia de eximentes".  El art. 1758 CCCN indica como sujetos responsables concurrentes al dueño y el guardián del daño causado por las cosas, salvo que se pruebe que la cosa fue usada en contra de su voluntad expresa o presunta.- Cfr "Código Civil y Comercial de la Nación" analizado por Alberto Bueres, T 2, pág. 194.</w:t>
      </w:r>
    </w:p>
    <w:p>
      <w:pPr>
        <w:pStyle w:val="[Normal]"/>
        <w:spacing w:line="360" w:lineRule="auto"/>
        <w:ind w:firstLine="1134"/>
        <w:jc w:val="both"/>
        <w:rPr>
          <w:lang w:val="es-AR" w:eastAsia="es-AR" w:bidi="es-AR"/>
        </w:rPr>
      </w:pPr>
      <w:r>
        <w:rPr>
          <w:lang w:val="es-AR" w:eastAsia="es-AR" w:bidi="es-AR"/>
        </w:rPr>
        <w:t xml:space="preserve">Sobre el punto carga de la prueba, puesto en crisis por la demandada, hay un abordaje expreso del Código Unificado, cuando dispone en el art. 1734 del CCCN que salvo disposición en contrario la carga de la prueba de los factores de atribución y de las circunstancias eximentes corresponden a quien los alega, directivas éstas dirigidas al juez a fin del dictado de la sentencia ante la prueba escasa, incierta o insuficiente, norma que debe ser colegida con el art. 1744 CCCN en cuanto señala que el daño debe ser acreditado por quien lo invoca, excepto que la ley lo impute o lo presuma, o que surja notorio de los propios hechos; norma que trata la carga de la prueba relativa al daño.</w:t>
      </w:r>
    </w:p>
    <w:p>
      <w:pPr>
        <w:pStyle w:val="[Normal]"/>
        <w:spacing w:line="360" w:lineRule="auto"/>
        <w:ind w:firstLine="1134"/>
        <w:jc w:val="both"/>
        <w:rPr>
          <w:lang w:val="es-AR" w:eastAsia="es-AR" w:bidi="es-AR"/>
        </w:rPr>
      </w:pPr>
      <w:r>
        <w:rPr>
          <w:lang w:val="es-AR" w:eastAsia="es-AR" w:bidi="es-AR"/>
        </w:rPr>
        <w:t xml:space="preserve">No se trata de modificar en estos puntos el régimen específico procesal, sino que se ha legislado con una mayor apertura, recepcionando el art. 1735 especialmente la denominada doctrina de las cargas probatorias dinámicas (Fallos CSJN , 320:2716/17) que permite al operador meritar quien se encontraba en mejores condiciones de probar un hecho controvertido, evaluando la conducta procesal de las partes o el quiebre de colaboración de alguna de ellas.</w:t>
      </w:r>
    </w:p>
    <w:p>
      <w:pPr>
        <w:pStyle w:val="[Normal]"/>
        <w:spacing w:line="360" w:lineRule="auto"/>
        <w:ind w:firstLine="1134"/>
        <w:jc w:val="both"/>
        <w:rPr>
          <w:lang w:val="es-AR" w:eastAsia="es-AR" w:bidi="es-AR"/>
        </w:rPr>
      </w:pPr>
      <w:r>
        <w:rPr>
          <w:lang w:val="es-AR" w:eastAsia="es-AR" w:bidi="es-AR"/>
        </w:rPr>
        <w:t xml:space="preserve"> El actor invocó la existencia de una conducta como acto humano voluntaria, antijurídica, el daño y la relación de casualidad entre aquella y las consecuencias dañosas, por tanto era al demandado a quien le competía probar la ruptura del nexo causal provocada por la víctima, lo que en la especie ha satisfecho plenamente, y así recogido por el aquo. En tanto en su análisis no sólo se basó en presunciones sino que evaluó todos los elementos introducidos tanto en sede civil como penal, elementos que ya he reseñado supra y que alcanzaron a formar la sana crítica razonada prevista en el art. 384 del CPCC.</w:t>
      </w:r>
    </w:p>
    <w:p>
      <w:pPr>
        <w:pStyle w:val="[Normal]"/>
        <w:spacing w:line="360" w:lineRule="auto"/>
        <w:ind w:firstLine="1134"/>
        <w:jc w:val="both"/>
        <w:rPr>
          <w:lang w:val="es-AR" w:eastAsia="es-AR" w:bidi="es-AR"/>
        </w:rPr>
      </w:pPr>
      <w:r>
        <w:rPr>
          <w:lang w:val="es-AR" w:eastAsia="es-AR" w:bidi="es-AR"/>
        </w:rPr>
        <w:t xml:space="preserve">Acudo aquí también a la reflexión del colega Roberto Degleue rendido en causa 3740/19 quien en su primer voto señalara en relación a la actividad probatoria y la interpretación del juez, que "es importante aclarar que aunque la ley en algunos supuestos -y por muy variadas razones de política legislativa- imponga un estándar probatorio agravado (como ocurre con las eximentes de responsabilidad), ello no significa que la actividad probatoria en general deba estar dirigida a generar en el juzgador una "absoluta certeza" sobre el acaecimiento de un hecho controvertido en el que los litigantes sustentan una pretensión o una defensa, premisa a partir de la cual podría inferirse que si no se logra ese estado subjetivo -o no se verifica con esa intensidad- el suceso debe reputarse no acreditado.  Esta idea puede merecer dos objeciones.  La primera es que la actividad probatoria no debe quedar reducida únicamente a la creación de estados subjetivos del juzgador que reflejen su parecer sobre una cierta hipótesis de hecho (v. gr, certeza, persuasión, convencimiento, intuición, etcétera).  Al valorar la evidencia producida por las partes -junto con toda otra información que surja verificada en la causa- no caben dudas que los magistrados formamos un juicio sobre si un hecho ocurrió o no (o si sucedió como la parte lo narra o de una manera distinta).  Pero mientras que en algunos casos esa reflexión o juicio interno es definido, moldeado y condicionado por factores enteramente aceptables de conformidad con las reglas que rigen el proceso judicial (v. gr., la cantidad, calidad y credibilidad de las pruebas, su valoración a la luz de las máximas de la experiencia y demás reglas de la sana crítica), en otros casos bien puede obedecer a parámetros inverificables, quizás inconscientes y que por ello no resultan admisibles (v.gr. intuiciones, meras sensaciones, preconceptos sobre el caso, sesgos cognitivos, etcétera).  Por ello, es muy importante que esa convicción -o certeza- no se repute técnicamente suficiente para justificar una conclusión vinculada a la questio facti: la valoración racional de la prueba impone al juez el deber de demostrar y argumentar cuáles son los elementos que objetivamente transforman aquella creencia [esa certeza, ese convencimiento] en un juicio razonable y aceptable.  El deber de motivar una sentencia obliga al juez a explicar de qué manera aquel estado subjetivo interno no es consecuencia de una mera intuición o sensación infundada, sino que es una convicción razonable, justificada, aceptable y compartible por un auditorio racional, teniendo en cuenta el valor convictivo de cada una de las pruebas producidas en la causa.  Estas exigencias de motivación objetivizan el parecer subjetivo del juez y lo hacen susceptible de control y de crítica. Quiero decir con lo anterior que probar no es solamente convencer al juez; probar es presentar elementos de convicción cuya valoración racional por parte del juzgador le permita concluir que la hipótesis de hecho invocada por la parte es -en una medida social y legalmente aceptable- probablemente verdadera.  Y aquí mi segunda objeción: el grado de confirmación que impone el estándar probatorio en el proceso civil lejos está de exigir valores absolutos.  El proceso judicial es un método de debate que tiene pretensiones epistémicas muy modestas: se intenta buscar una verdad, pero ella difícilmente pueda juzgarse absoluta o infranqueable. Múltiples normas procesales que tutelan otros valores constitucionales muy importantes dificultan o incluso impiden acceder a la verdad (e.g., la preclusión, las reglas sobre negligencias y caducidades probatorias, normas sobre pruebas ilícitas, etc.).  Solo lograremos, en el mejor de los casos, verificar la probabilidad -más alta, más baja- de que los enunciados de hecho que los litigantes invocan sean o no verdaderos.  Cuando esa probabilidad supera el mínimo que el legislador establece mediante el estándar de prueba (regulado, aunque sin mayor precisión, en nuestro art. 384 del CPCCBA), el magistrado se encontrará habilitado para considerar verdadera una hipótesis de hecho e incluirla en la premisa fáctica de su razonamiento decisional.  Pero he aquí el punto a destacar: se trata de una verdad relativa y probable, nunca absoluta".- CC0102 MP 137518 27-S S 14/02/2018 - Carátula: Santicchia, Guillermo Juan y ot. c/ Basile, Rubén Alfredo y ot.. s/ Daños y Perjuicios - Sumario Juba: B5042049). </w:t>
      </w:r>
    </w:p>
    <w:p>
      <w:pPr>
        <w:pStyle w:val="[Normal]"/>
        <w:spacing w:line="360" w:lineRule="auto"/>
        <w:ind w:firstLine="1134"/>
        <w:jc w:val="both"/>
        <w:rPr>
          <w:lang w:val="es-AR" w:eastAsia="es-AR" w:bidi="es-AR"/>
        </w:rPr>
      </w:pPr>
      <w:r>
        <w:rPr>
          <w:lang w:val="es-AR" w:eastAsia="es-AR" w:bidi="es-AR"/>
        </w:rPr>
        <w:t xml:space="preserve">Con lo cual entonces, propicio la confirmación del capítulo atinente a la responsabilidad de los protagonistas en el evento tal como fuera decidido por el aquo, la aplicación normativa citada y la valoración probatoria conforme las reglas de la sana critica (art. 384 del CPCC y su doctrina).-</w:t>
      </w:r>
    </w:p>
    <w:p>
      <w:pPr>
        <w:pStyle w:val="[Normal]"/>
        <w:spacing w:line="360" w:lineRule="auto"/>
        <w:ind w:firstLine="1134"/>
        <w:jc w:val="both"/>
        <w:rPr>
          <w:lang w:val="es-AR" w:eastAsia="es-AR" w:bidi="es-AR"/>
        </w:rPr>
      </w:pPr>
      <w:r>
        <w:rPr>
          <w:lang w:val="es-AR" w:eastAsia="es-AR" w:bidi="es-AR"/>
        </w:rPr>
        <w:t xml:space="preserve">8) </w:t>
      </w:r>
      <w:r>
        <w:rPr>
          <w:b/>
          <w:lang w:val="es-AR" w:eastAsia="es-AR" w:bidi="es-AR"/>
        </w:rPr>
        <w:t xml:space="preserve">Agravio del apoderado de Caja de Seguros S. A.: </w:t>
      </w:r>
      <w:r>
        <w:rPr>
          <w:lang w:val="es-AR" w:eastAsia="es-AR" w:bidi="es-AR"/>
        </w:rPr>
        <w:t xml:space="preserve">relativo a la vigencia de la póliza y el rechazo de la defensa de falta de legitimación pasiva opuesta por la aseguradora.</w:t>
      </w:r>
    </w:p>
    <w:p>
      <w:pPr>
        <w:pStyle w:val="[Normal]"/>
        <w:spacing w:line="360" w:lineRule="auto"/>
        <w:ind w:firstLine="1134"/>
        <w:jc w:val="both"/>
        <w:rPr>
          <w:lang w:val="es-AR" w:eastAsia="es-AR" w:bidi="es-AR"/>
        </w:rPr>
      </w:pPr>
      <w:r>
        <w:rPr>
          <w:lang w:val="es-AR" w:eastAsia="es-AR" w:bidi="es-AR"/>
        </w:rPr>
        <w:t xml:space="preserve">Se duele contra esta porción achacando errores en la valoración de los informes producidos, remitiéndome para los fundamentos desplegados  al escrito electrónico oportunamente agregado.-</w:t>
      </w:r>
    </w:p>
    <w:p>
      <w:pPr>
        <w:pStyle w:val="[Normal]"/>
        <w:spacing w:line="360" w:lineRule="auto"/>
        <w:ind w:firstLine="1134"/>
        <w:jc w:val="both"/>
        <w:rPr>
          <w:lang w:val="es-AR" w:eastAsia="es-AR" w:bidi="es-AR"/>
        </w:rPr>
      </w:pPr>
      <w:r>
        <w:rPr>
          <w:lang w:val="es-AR" w:eastAsia="es-AR" w:bidi="es-AR"/>
        </w:rPr>
        <w:t xml:space="preserve"> La cuestión concreta traída hoy a revisión de esta Alzada, tiene características y particularidades propias que ameritan un tratamiento detenido, teniendo en cuenta la plataforma fáctica, la prueba rendida, la aplicación normativa de la ley de seguros así como la ley de defensa al consumidor.-</w:t>
      </w:r>
    </w:p>
    <w:p>
      <w:pPr>
        <w:pStyle w:val="[Normal]"/>
        <w:spacing w:line="360" w:lineRule="auto"/>
        <w:ind w:firstLine="1134"/>
        <w:jc w:val="both"/>
        <w:rPr>
          <w:lang w:val="es-AR" w:eastAsia="es-AR" w:bidi="es-AR"/>
        </w:rPr>
      </w:pPr>
      <w:r>
        <w:rPr>
          <w:lang w:val="es-AR" w:eastAsia="es-AR" w:bidi="es-AR"/>
        </w:rPr>
        <w:t xml:space="preserve">La queja pretende revertir la desestimación de la defensa de falta de legitimación pasiva opuesta por la aseguradora basándose en la falta de pago de la póliza.  Reconoció en las respectivas contestaciones la existencia del vinculo contractual que la relacionaba con el demandado Pablo Smith instrumentado en la Póliza Nro 5020-0254320.</w:t>
      </w:r>
    </w:p>
    <w:p>
      <w:pPr>
        <w:pStyle w:val="[Normal]"/>
        <w:spacing w:line="360" w:lineRule="auto"/>
        <w:ind w:firstLine="1134"/>
        <w:jc w:val="both"/>
        <w:rPr>
          <w:lang w:val="es-AR" w:eastAsia="es-AR" w:bidi="es-AR"/>
        </w:rPr>
      </w:pPr>
      <w:r>
        <w:rPr>
          <w:lang w:val="es-AR" w:eastAsia="es-AR" w:bidi="es-AR"/>
        </w:rPr>
        <w:t xml:space="preserve">Y a ese reconocimiento ha de adunarse la acreditación de la relación contractual entre la entidad aseguradora y el titular dominial del automóvil siniestrado, recogido en forma fidedigna por la pericia contable adjuntada en CD ROM  (25/08/2023) y practicada por la Perito Contadora Mariana Alicia Losada.</w:t>
      </w:r>
    </w:p>
    <w:p>
      <w:pPr>
        <w:pStyle w:val="[Normal]"/>
        <w:spacing w:line="360" w:lineRule="auto"/>
        <w:ind w:firstLine="1134"/>
        <w:jc w:val="both"/>
        <w:rPr>
          <w:lang w:val="es-AR" w:eastAsia="es-AR" w:bidi="es-AR"/>
        </w:rPr>
      </w:pPr>
      <w:r>
        <w:rPr>
          <w:lang w:val="es-AR" w:eastAsia="es-AR" w:bidi="es-AR"/>
        </w:rPr>
        <w:t xml:space="preserve">También quedó demostrado que pactaron el pago directo/débito automático de la cuenta de Caja de Ahorros en pesos nro. 91/328875/3 del BBVA (surgiendo del informe de la entidad bancaria del 19/12/2022) la modalidad de pago adoptada por las partes sobre la cuenta de titularidad del Sr. Smith.</w:t>
      </w:r>
    </w:p>
    <w:p>
      <w:pPr>
        <w:pStyle w:val="[Normal]"/>
        <w:spacing w:line="360" w:lineRule="auto"/>
        <w:ind w:firstLine="1134"/>
        <w:jc w:val="both"/>
        <w:rPr>
          <w:lang w:val="es-AR" w:eastAsia="es-AR" w:bidi="es-AR"/>
        </w:rPr>
      </w:pPr>
      <w:r>
        <w:rPr>
          <w:lang w:val="es-AR" w:eastAsia="es-AR" w:bidi="es-AR"/>
        </w:rPr>
        <w:t xml:space="preserve">El operador ha evaluado esa dinámica y destaca que era práctica entre las partes mencionadas el mecanismo de pago del premio del que da cuenta los resúmenes apuntados y que en ese marco contractual el asegurado adhirió al pago directo del seguro, el 28/06/2018 del mismo modo que lo hiciera el mes anterior y el anterior según surge de las adhesiones de fecha 26/04/2018 y 30/05/20218, rechazando en esta última oportunidad La Caja el pago, consignándose en el movimiento de cuenta de fecha 16/07/2018).</w:t>
      </w:r>
    </w:p>
    <w:p>
      <w:pPr>
        <w:pStyle w:val="[Normal]"/>
        <w:spacing w:line="360" w:lineRule="auto"/>
        <w:ind w:firstLine="1134"/>
        <w:jc w:val="both"/>
        <w:rPr>
          <w:b/>
          <w:lang w:val="es-AR" w:eastAsia="es-AR" w:bidi="es-AR"/>
        </w:rPr>
      </w:pPr>
      <w:r>
        <w:rPr>
          <w:lang w:val="es-AR" w:eastAsia="es-AR" w:bidi="es-AR"/>
        </w:rPr>
        <w:t xml:space="preserve">Considero que han de meritarse distintos aspectos no sólo relativos a la prueba pericial contable sino a principios aplicables tales como la buena fe subjetiva prevista por el art. 9 de la ley de Defensa al Consumidor, el derecho a recibir una información clara y precisa y el deber de información previsto en el art. 4 de la Ley de Defensa al Consumidor, la aplicación de la doctrina de los propios actos.</w:t>
      </w:r>
    </w:p>
    <w:p>
      <w:pPr>
        <w:pStyle w:val="[Normal]"/>
        <w:spacing w:line="360" w:lineRule="auto"/>
        <w:ind w:firstLine="1134"/>
        <w:jc w:val="both"/>
        <w:rPr>
          <w:lang w:val="es-AR" w:eastAsia="es-AR" w:bidi="es-AR"/>
        </w:rPr>
      </w:pPr>
      <w:r>
        <w:rPr>
          <w:lang w:val="es-AR" w:eastAsia="es-AR" w:bidi="es-AR"/>
        </w:rPr>
        <w:t xml:space="preserve">Aquí voy a detenerme en el principio de la buena fe previsto en el art. 9 del Código Civil Unificado aplicable a las relaciones de consumo, distinguiéndose entre la buena fe subjetiva y la objetiva.</w:t>
      </w:r>
    </w:p>
    <w:p>
      <w:pPr>
        <w:pStyle w:val="[Normal]"/>
        <w:spacing w:line="360" w:lineRule="auto"/>
        <w:ind w:firstLine="1134"/>
        <w:jc w:val="both"/>
        <w:rPr>
          <w:lang w:val="es-AR" w:eastAsia="es-AR" w:bidi="es-AR"/>
        </w:rPr>
      </w:pPr>
      <w:r>
        <w:rPr>
          <w:lang w:val="es-AR" w:eastAsia="es-AR" w:bidi="es-AR"/>
        </w:rPr>
        <w:t xml:space="preserve">"La buena fe objetiva funciona como regla de conducta o comportamiento fundada en la honestidad, en la rectitud, lealtad y consideración de los intereses de la otra parte, especialmente en el sentido de no ocultarle informaciones relevantes. En el campo del derecho del consumidor, el principio de la buena fe opera como una obligación tanto en cabeza del proveedor como del consumidor.</w:t>
      </w:r>
    </w:p>
    <w:p>
      <w:pPr>
        <w:pStyle w:val="[Normal]"/>
        <w:spacing w:line="360" w:lineRule="auto"/>
        <w:ind w:firstLine="1134"/>
        <w:jc w:val="both"/>
        <w:rPr>
          <w:lang w:val="es-AR" w:eastAsia="es-AR" w:bidi="es-AR"/>
        </w:rPr>
      </w:pPr>
      <w:r>
        <w:rPr>
          <w:lang w:val="es-AR" w:eastAsia="es-AR" w:bidi="es-AR"/>
        </w:rPr>
        <w:t xml:space="preserve">La buena fe subjetiva por su parte, se expresa en la confianza que suscita en el consumidor de la sociedad de consumo la publicidad, la difusión de la marca, la imagen corporativa, las promociones, la calidad, la seriedad y eficiencia de las empresas de las que adquieren o utilicen bienes o servicios.  Por  tales configuraciones, los consumidores, de manera lógica y razonable, depositan su confianza en los proveedores que los comercializan. El principio de confianza encuentra su especial arraigo en el art. 1067 del CCCN como pauta de interpretación de los contratos y en el art. 1725 en lo que respecta a la valoración de la conducta en supuestos de responsabilidad civil" Cfr Scaraffia-Morea-Aranda "Derecho de Consumo" pag.33.</w:t>
      </w:r>
    </w:p>
    <w:p>
      <w:pPr>
        <w:pStyle w:val="[Normal]"/>
        <w:spacing w:line="360" w:lineRule="auto"/>
        <w:ind w:firstLine="1134"/>
        <w:jc w:val="both"/>
        <w:rPr>
          <w:b/>
          <w:lang w:val="es-AR" w:eastAsia="es-AR" w:bidi="es-AR"/>
        </w:rPr>
      </w:pPr>
      <w:r>
        <w:rPr>
          <w:lang w:val="es-AR" w:eastAsia="es-AR" w:bidi="es-AR"/>
        </w:rPr>
        <w:t xml:space="preserve">En todo el desarrollo del contrato consumeril ha de regir el principio de la buena fe contractual de modo imperativo (art. 1198 del Código de Vélez, trato digno (art. 8 LDC y art. 42 de la Constitución Nacional), fórmula ésta que permite subsumir variados comportamientos que se despliegan en el comercio.</w:t>
      </w:r>
    </w:p>
    <w:p>
      <w:pPr>
        <w:pStyle w:val="[Normal]"/>
        <w:spacing w:line="360" w:lineRule="auto"/>
        <w:ind w:firstLine="1134"/>
        <w:jc w:val="both"/>
        <w:rPr>
          <w:b/>
          <w:lang w:val="es-AR" w:eastAsia="es-AR" w:bidi="es-AR"/>
        </w:rPr>
      </w:pPr>
      <w:r>
        <w:rPr>
          <w:lang w:val="es-AR" w:eastAsia="es-AR" w:bidi="es-AR"/>
        </w:rPr>
        <w:t xml:space="preserve">A mi criterio se estaría violentando la buena fe subjetiva del asegurado si se omitiera valorar la circunstancia de que si el cliente contrató el servicio y adopta la modalidad descripta (débito automático en cuenta bancaria) no puede exigírsele que esté controlando fecha a fecha si ese débito efectivamente se concretó.  Y más aún esa modalidad fue contratada claramente antes de la ocurrencia del siniestro que dio origen a la reclamación.</w:t>
      </w:r>
    </w:p>
    <w:p>
      <w:pPr>
        <w:pStyle w:val="[Normal]"/>
        <w:spacing w:line="360" w:lineRule="auto"/>
        <w:ind w:firstLine="1134"/>
        <w:jc w:val="both"/>
        <w:rPr>
          <w:b/>
          <w:lang w:val="es-AR" w:eastAsia="es-AR" w:bidi="es-AR"/>
        </w:rPr>
      </w:pPr>
      <w:r>
        <w:rPr>
          <w:lang w:val="es-AR" w:eastAsia="es-AR" w:bidi="es-AR"/>
        </w:rPr>
        <w:t xml:space="preserve">El Código Civil y Comercial no deja lugar a dudas ni controversias respecto al alcance general de la buena fe como principio aplicable a todas las relaciones jurídicas. El art. 9 postula expresamente a la buena fe como un principio general del derecho: “Principio de buena fe. Los derechos deben ser ejercidos de buena fe”. El art. 729 CCCN reza de modo concordante que: “Deudor y acreedor deben obrar con cuidado, previsión y según las exigencias de la buena fe”, fórmula con la que, implícitamente, se ratifica la vigencia de este principio como pauta de conducta de los sujetos de la relación jurídica contractual como extracontractual, por encuadrar ambas dentro del concepto más amplio de relación jurídica obligatoria. Los arts. 961, 991, 1061 se limitan a confirmar la incidencia general de la buena fe en el ámbito de los contratos.  Y, finalmente, los arts. 1091, 1190, 1710, 2075, 2076, 2078 a 2086, 2089, 2092, 2093, 2095, 2097, 2098, 2015, 2107 a 2112 del Código Civil y Comercial contienen aplicaciones específicas del principio general de buena fe tanto en su aspecto objetivo como subjetivo, de donde se sigue que la lógica subyacente de la nueva codificación apunta a confirmar y repotenciar la expansión de la buena fe como criterio rector de las relaciones civiles y comerciales en general.</w:t>
      </w:r>
    </w:p>
    <w:p>
      <w:pPr>
        <w:pStyle w:val="[Normal]"/>
        <w:spacing w:line="360" w:lineRule="auto"/>
        <w:ind w:firstLine="1134"/>
        <w:jc w:val="both"/>
        <w:rPr>
          <w:lang w:val="es-AR" w:eastAsia="es-AR" w:bidi="es-AR"/>
        </w:rPr>
      </w:pPr>
      <w:r>
        <w:rPr>
          <w:lang w:val="es-AR" w:eastAsia="es-AR" w:bidi="es-AR"/>
        </w:rPr>
        <w:t xml:space="preserve">Entiendo que las normas y los conceptos tales como mora automática, suspensión de cobertura, exclusión de la misma, pago en término y todo lo que hace a la contratación de seguros no funcionan en piloto automático. Cada caso debe analizarse a la luz de los principios propios de cada materia y enlazarse con todo el ordenamiento jurídico.  El déficit probatorio no puede endilgarse negativamente a la asegurada, era una carga de quien sostenía una exclusión de cobertura.</w:t>
      </w:r>
    </w:p>
    <w:p>
      <w:pPr>
        <w:pStyle w:val="[Normal]"/>
        <w:spacing w:line="360" w:lineRule="auto"/>
        <w:ind w:firstLine="1134"/>
        <w:jc w:val="both"/>
        <w:rPr>
          <w:lang w:val="es-AR" w:eastAsia="es-AR" w:bidi="es-AR"/>
        </w:rPr>
      </w:pPr>
      <w:r>
        <w:rPr>
          <w:lang w:val="es-AR" w:eastAsia="es-AR" w:bidi="es-AR"/>
        </w:rPr>
        <w:t xml:space="preserve">El juez de grado aplicó bien aquí el deber de información previsto en la ley de Defensa al Consumidor, respecto del cual encuentro un déficit de actuación en la entidad aseguradora respecto de la asegurada. No sólo en la etapa anterior al siniestro, sino durante y después del mismo. </w:t>
      </w:r>
    </w:p>
    <w:p>
      <w:pPr>
        <w:pStyle w:val="[Normal]"/>
        <w:spacing w:line="360" w:lineRule="auto"/>
        <w:ind w:firstLine="1134"/>
        <w:jc w:val="both"/>
        <w:rPr>
          <w:lang w:val="es-AR" w:eastAsia="es-AR" w:bidi="es-AR"/>
        </w:rPr>
      </w:pPr>
      <w:r>
        <w:rPr>
          <w:lang w:val="es-AR" w:eastAsia="es-AR" w:bidi="es-AR"/>
        </w:rPr>
        <w:t xml:space="preserve">En efecto "A modo de aproximación general, cabe definir el deber de información como un deber jurídico obligacional, de causa diversa, que incumbe al poseedor de la información vinculada con una relación jurídica o con las prestaciones involucradas en la operación, o atinente a actividades susceptibles de causar daño a los contratantes o terceros.  Su contenido radica en poner en conocimiento de la otra parte una cantidad de datos suficientes como para evitar los daños o mitigar la inferioridad negocial que puede generarse al no ser suministrados" citado en Scaraffia-Morea y Aranda Derecho de Consumo pág. 97.</w:t>
      </w:r>
    </w:p>
    <w:p>
      <w:pPr>
        <w:pStyle w:val="[Normal]"/>
        <w:spacing w:line="360" w:lineRule="auto"/>
        <w:ind w:firstLine="1134"/>
        <w:jc w:val="both"/>
        <w:rPr>
          <w:lang w:val="es-AR" w:eastAsia="es-AR" w:bidi="es-AR"/>
        </w:rPr>
      </w:pPr>
      <w:r>
        <w:rPr>
          <w:lang w:val="es-AR" w:eastAsia="es-AR" w:bidi="es-AR"/>
        </w:rPr>
        <w:t xml:space="preserve">"En punto a su extensión operativa en las diversas fases de la relación jurídica obligacional la doctrina coincide en que este deber actuar no solo en la etapa "precontractual" sino también durante la "ejecución del contrato".</w:t>
      </w:r>
    </w:p>
    <w:p>
      <w:pPr>
        <w:pStyle w:val="[Normal]"/>
        <w:spacing w:line="360" w:lineRule="auto"/>
        <w:ind w:firstLine="1134"/>
        <w:jc w:val="both"/>
        <w:rPr>
          <w:lang w:val="es-AR" w:eastAsia="es-AR" w:bidi="es-AR"/>
        </w:rPr>
      </w:pPr>
      <w:r>
        <w:rPr>
          <w:lang w:val="es-AR" w:eastAsia="es-AR" w:bidi="es-AR"/>
        </w:rPr>
        <w:t xml:space="preserve">"En lo que respecta al ámbito consumeril, el fortalecimiento deviene absolutamente lógico: a la acentuación del nivel de anoticiamiento se adiciona la necesidad de concientizar al consumidor sobre sus propios derechos y, por ende, reforzar en alguna medida, su originaria posición de debilidad en el mercado" obra citada pág. 98.</w:t>
      </w:r>
    </w:p>
    <w:p>
      <w:pPr>
        <w:pStyle w:val="[Normal]"/>
        <w:spacing w:line="360" w:lineRule="auto"/>
        <w:ind w:firstLine="1134"/>
        <w:jc w:val="both"/>
        <w:rPr>
          <w:lang w:val="es-AR" w:eastAsia="es-AR" w:bidi="es-AR"/>
        </w:rPr>
      </w:pPr>
      <w:r>
        <w:rPr>
          <w:lang w:val="es-AR" w:eastAsia="es-AR" w:bidi="es-AR"/>
        </w:rPr>
        <w:t xml:space="preserve">Conforme el art. 2 de la ley 24.240 la asunción de la condición de proveedor de un determinado sujeto será razón suficiente para imponerle el mentado deber en relación al usuario o consumidor.</w:t>
      </w:r>
    </w:p>
    <w:p>
      <w:pPr>
        <w:pStyle w:val="[Normal]"/>
        <w:spacing w:line="360" w:lineRule="auto"/>
        <w:ind w:firstLine="1134"/>
        <w:jc w:val="both"/>
        <w:rPr>
          <w:lang w:val="es-AR" w:eastAsia="es-AR" w:bidi="es-AR"/>
        </w:rPr>
      </w:pPr>
      <w:r>
        <w:rPr>
          <w:lang w:val="es-AR" w:eastAsia="es-AR" w:bidi="es-AR"/>
        </w:rPr>
        <w:t xml:space="preserve">Estas premisas son totalmente aplicables al derecho de seguros, y desde mi perspectiva la asegurada en este caso concreto la especial situación de pagar su prima con débito automático,  el deber de información puso a la asegurada en una posición de vulnerabilidad en relación a éste.</w:t>
      </w:r>
    </w:p>
    <w:p>
      <w:pPr>
        <w:pStyle w:val="[Normal]"/>
        <w:spacing w:line="360" w:lineRule="auto"/>
        <w:ind w:firstLine="1134"/>
        <w:jc w:val="both"/>
        <w:rPr>
          <w:lang w:val="es-AR" w:eastAsia="es-AR" w:bidi="es-AR"/>
        </w:rPr>
      </w:pPr>
      <w:r>
        <w:rPr>
          <w:lang w:val="es-AR" w:eastAsia="es-AR" w:bidi="es-AR"/>
        </w:rPr>
        <w:t xml:space="preserve">Encuentro muy bien fundada la sentencia del aquo en este punto y los agravios traídos por la aseguradora no hay podido modificar lo decidido lo que aquí se confirma en cuanto a la extensión de responsabilidad decidida.</w:t>
      </w:r>
    </w:p>
    <w:p>
      <w:pPr>
        <w:pStyle w:val="[Normal]"/>
        <w:spacing w:line="360" w:lineRule="auto"/>
        <w:ind w:firstLine="1134"/>
        <w:jc w:val="both"/>
        <w:rPr>
          <w:lang w:val="es-AR" w:eastAsia="es-AR" w:bidi="es-AR"/>
        </w:rPr>
      </w:pPr>
      <w:r>
        <w:rPr>
          <w:lang w:val="es-AR" w:eastAsia="es-AR" w:bidi="es-AR"/>
        </w:rPr>
        <w:t xml:space="preserve">La omisión de intervención del Ministerio Público Fiscal que achaca la quejosa se trata de un acto procesal que no conlleva a la nulidad como lo pretende, en tanto si bien es cierto que se conjugaron normativas de seguro con algunos principios consumeriles, la naturaleza de la pretensión es principalmente de índole resarcitoria y a todo evento  la intervención dada en la especie antes del dictado de la presente sentencia ha compurgado cualquier invalidez que pretenda el apelante.</w:t>
      </w:r>
    </w:p>
    <w:p>
      <w:pPr>
        <w:pStyle w:val="[Normal]"/>
        <w:spacing w:line="360" w:lineRule="auto"/>
        <w:ind w:firstLine="1134"/>
        <w:jc w:val="both"/>
        <w:rPr>
          <w:lang w:val="es-AR" w:eastAsia="es-AR" w:bidi="es-AR"/>
        </w:rPr>
      </w:pPr>
      <w:r>
        <w:rPr>
          <w:lang w:val="es-AR" w:eastAsia="es-AR" w:bidi="es-AR"/>
        </w:rPr>
        <w:t xml:space="preserve">9) </w:t>
      </w:r>
      <w:r>
        <w:rPr>
          <w:b/>
          <w:lang w:val="es-AR" w:eastAsia="es-AR" w:bidi="es-AR"/>
        </w:rPr>
        <w:t xml:space="preserve">Límite de cobertura:</w:t>
      </w:r>
      <w:r>
        <w:rPr>
          <w:lang w:val="es-AR" w:eastAsia="es-AR" w:bidi="es-AR"/>
        </w:rPr>
        <w:t xml:space="preserve"> también cuestionado por otra de las letradas quien sostiene que pretender limitar la indemnización a la suma asegurada de $ 6.000.000 resulta inadecuado frente a la magnitud del perjuicio y la gravedad del hecho, colisionando con los principios del régimen de responsabilidad previsto en los arts. 1716, 1740 y 1741 del CCCN.  Frente a la posición contraria sostenida por el apoderado de la Caja de Seguros quien sostiene los términos que emanan de la póliza contratada hasta $ 6.000.000 por acontecimiento pactándose un prorrateo de la suma asegurada en caso de pluralidad de damnificados, acude a citas jurisprudenciales y pide que se revoque la condena de la aseguradora y en su caso se disponga que la misma sea en la medida del seguro.</w:t>
      </w:r>
    </w:p>
    <w:p>
      <w:pPr>
        <w:pStyle w:val="[Normal]"/>
        <w:spacing w:line="360" w:lineRule="auto"/>
        <w:ind w:firstLine="1134"/>
        <w:jc w:val="both"/>
        <w:rPr>
          <w:lang w:val="es-AR" w:eastAsia="es-AR" w:bidi="es-AR"/>
        </w:rPr>
      </w:pPr>
      <w:r>
        <w:rPr>
          <w:lang w:val="es-AR" w:eastAsia="es-AR" w:bidi="es-AR"/>
        </w:rPr>
        <w:t xml:space="preserve">Aquí he de detenerme acudiendo a los precedentes de este Tribunal en el punto de queja.  En este sentido, recurro a  la doctrina legal de la SCBA en la causa “Martínez, Emir c/ Boito” conforme a la cual las cláusulas de delimitación cuantitativa del riesgo no son abusivas per se, pero su aplicación literal en valor histórico puede tornarse irrazonable si desnaturaliza el interés asegurado y vacía de contenido la garantía. </w:t>
      </w:r>
    </w:p>
    <w:p>
      <w:pPr>
        <w:pStyle w:val="[Normal]"/>
        <w:spacing w:line="360" w:lineRule="auto"/>
        <w:ind w:firstLine="1134"/>
        <w:jc w:val="both"/>
        <w:rPr>
          <w:lang w:val="es-AR" w:eastAsia="es-AR" w:bidi="es-AR"/>
        </w:rPr>
      </w:pPr>
      <w:r>
        <w:rPr>
          <w:lang w:val="es-AR" w:eastAsia="es-AR" w:bidi="es-AR"/>
        </w:rPr>
        <w:t xml:space="preserve">Por ello, la condena a la citada debe comprender, como piso, la cobertura básica vigente al momento de la valuación judicial del daño, (fecha de esta sentencia), sin perjuicio del mayor límite contratado si fuere superior. Dicho estándar, además, conecta con el principio de reparación plena y con el equilibrio prestacional en contratos por adhesión.</w:t>
      </w:r>
    </w:p>
    <w:p>
      <w:pPr>
        <w:pStyle w:val="[Normal]"/>
        <w:spacing w:line="360" w:lineRule="auto"/>
        <w:ind w:firstLine="1134"/>
        <w:jc w:val="both"/>
        <w:rPr>
          <w:b/>
          <w:lang w:val="es-AR" w:eastAsia="es-AR" w:bidi="es-AR"/>
        </w:rPr>
      </w:pPr>
      <w:r>
        <w:rPr>
          <w:lang w:val="es-AR" w:eastAsia="es-AR" w:bidi="es-AR"/>
        </w:rPr>
        <w:t xml:space="preserve">En consecuencia</w:t>
      </w:r>
      <w:r>
        <w:rPr>
          <w:b/>
          <w:lang w:val="es-AR" w:eastAsia="es-AR" w:bidi="es-AR"/>
        </w:rPr>
        <w:t xml:space="preserve">, </w:t>
      </w:r>
      <w:r>
        <w:rPr>
          <w:lang w:val="es-AR" w:eastAsia="es-AR" w:bidi="es-AR"/>
        </w:rPr>
        <w:t xml:space="preserve">corresponde hacer lugar parcialmente al agravio declarando inoponible el límite histórico invocado por la citada en garantía y admitir la readecuación de la siguiente forma.  La obligación de responder de la citada deberá extenderse hasta el mayor (límite) de: 1) la cobertura básica obligatoria vigente a la fecha de esta sentencia , o 2) el límite contractual si resultare superior. La precisión numérica se fijará en la etapa de ejecución, verificando el régimen mínimo aplicable a esa fecha. </w:t>
      </w:r>
    </w:p>
    <w:p>
      <w:pPr>
        <w:pStyle w:val="[Normal]"/>
        <w:spacing w:line="360" w:lineRule="auto"/>
        <w:ind w:firstLine="1134"/>
        <w:jc w:val="both"/>
        <w:rPr>
          <w:lang w:val="es-AR" w:eastAsia="es-AR" w:bidi="es-AR"/>
        </w:rPr>
      </w:pPr>
      <w:r>
        <w:rPr>
          <w:lang w:val="es-AR" w:eastAsia="es-AR" w:bidi="es-AR"/>
        </w:rPr>
        <w:t xml:space="preserve">10) Cuestionamiento del carácter de herederos de Victorio Smith y Danilo León Smith traído por su progenitora con el patrocinio letrado respectivo, argumentando que no fue tratada la falta de legitimación de los mismos.</w:t>
      </w:r>
    </w:p>
    <w:p>
      <w:pPr>
        <w:pStyle w:val="[Normal]"/>
        <w:spacing w:line="360" w:lineRule="auto"/>
        <w:ind w:firstLine="1134"/>
        <w:jc w:val="both"/>
        <w:rPr>
          <w:lang w:val="es-AR" w:eastAsia="es-AR" w:bidi="es-AR"/>
        </w:rPr>
      </w:pPr>
      <w:r>
        <w:rPr>
          <w:lang w:val="es-AR" w:eastAsia="es-AR" w:bidi="es-AR"/>
        </w:rPr>
        <w:t xml:space="preserve">El primer tema no puede atenderse en tanto se ha acreditado en autos que los quejosos Danilo y Victorio eran hijos del conductor del rodado siniestrado Silvio Fernando Smith, determinándose la calidad de tales desde el momento del fallecimiento del causante, conforme el art. 2294 del CCCN.- Al momento de la traba de la litis no opusieron la falta de aceptación de la herencia, con lo cual el planteo de la letrada deviene claramente inoportuno.  De igual modo que se presumió una aceptación tácita de la misma en cuanto a través de su representante realizaron actos procesales sin oponer la mentada renuncia.</w:t>
      </w:r>
    </w:p>
    <w:p>
      <w:pPr>
        <w:pStyle w:val="[Normal]"/>
        <w:spacing w:line="360" w:lineRule="auto"/>
        <w:ind w:firstLine="1134"/>
        <w:jc w:val="both"/>
        <w:rPr>
          <w:lang w:val="es-AR" w:eastAsia="es-AR" w:bidi="es-AR"/>
        </w:rPr>
      </w:pPr>
      <w:r>
        <w:rPr>
          <w:lang w:val="es-AR" w:eastAsia="es-AR" w:bidi="es-AR"/>
        </w:rPr>
        <w:t xml:space="preserve"> Y sobre el tema de las costas solicita se impongan en el orden causado o en su caso a la entidad aseguradora, seguiré el principio objetivo de la derrota  decidido por el juez de grado. Ello con relación a todos los planteos de alguno de  los quejosos que puntualmente deslizan una petición de costa por su orden o  a la contraria ; desechando la misma y confirmando en este punto lo decidido por el operador de primera instancia.-</w:t>
      </w:r>
    </w:p>
    <w:p>
      <w:pPr>
        <w:pStyle w:val="[Normal]"/>
        <w:spacing w:line="360" w:lineRule="auto"/>
        <w:ind w:firstLine="1134"/>
        <w:jc w:val="both"/>
        <w:rPr>
          <w:lang w:val="es-AR" w:eastAsia="es-AR" w:bidi="es-AR"/>
        </w:rPr>
      </w:pPr>
      <w:r>
        <w:rPr>
          <w:lang w:val="es-AR" w:eastAsia="es-AR" w:bidi="es-AR"/>
        </w:rPr>
        <w:t xml:space="preserve">11) </w:t>
      </w:r>
      <w:r>
        <w:rPr>
          <w:b/>
          <w:lang w:val="es-AR" w:eastAsia="es-AR" w:bidi="es-AR"/>
        </w:rPr>
        <w:t xml:space="preserve">Los rubros y su cuantificación: </w:t>
      </w:r>
      <w:r>
        <w:rPr>
          <w:lang w:val="es-AR" w:eastAsia="es-AR" w:bidi="es-AR"/>
        </w:rPr>
        <w:t xml:space="preserve">En lo que aquí concierne, corresponde me aboque al tratamiento de los agravios articulados por la parte actora, en cuanto cuestiona la insuficiencia de los montos indemnizatorios reconocidos en la instancia de grado.</w:t>
      </w:r>
    </w:p>
    <w:p>
      <w:pPr>
        <w:pStyle w:val="[Normal]"/>
        <w:spacing w:line="360" w:lineRule="auto"/>
        <w:ind w:firstLine="1134"/>
        <w:jc w:val="both"/>
        <w:rPr>
          <w:b/>
          <w:lang w:val="es-AR" w:eastAsia="es-AR" w:bidi="es-AR"/>
        </w:rPr>
      </w:pPr>
      <w:r>
        <w:rPr>
          <w:lang w:val="es-AR" w:eastAsia="es-AR" w:bidi="es-AR"/>
        </w:rPr>
        <w:t xml:space="preserve">Sobre el daño moral, trataré conjuntamente todos los agravios a los efectos de evitar reiteraciones innecesarias.</w:t>
      </w:r>
    </w:p>
    <w:p>
      <w:pPr>
        <w:pStyle w:val="[Normal]"/>
        <w:spacing w:line="360" w:lineRule="auto"/>
        <w:ind w:firstLine="1134"/>
        <w:jc w:val="both"/>
        <w:rPr>
          <w:lang w:val="es-AR" w:eastAsia="es-AR" w:bidi="es-AR"/>
        </w:rPr>
      </w:pPr>
      <w:r>
        <w:rPr>
          <w:lang w:val="es-AR" w:eastAsia="es-AR" w:bidi="es-AR"/>
        </w:rPr>
        <w:t xml:space="preserve">La plataforma probatoria de autos -en particular, los testimonios que describen la convivencia, la cotidianeidad compartida y el impacto emocional inmediato del fallecimiento, junto con las constancias que dan cuenta del rol activo de los causantes en la vida familiar- resultan demostrativos de un sufrimiento espiritual intenso, específico y perdurable de los padres y madres de las víctimas.</w:t>
      </w:r>
    </w:p>
    <w:p>
      <w:pPr>
        <w:pStyle w:val="[Normal]"/>
        <w:spacing w:line="360" w:lineRule="auto"/>
        <w:ind w:firstLine="1134"/>
        <w:jc w:val="both"/>
        <w:rPr>
          <w:lang w:val="es-AR" w:eastAsia="es-AR" w:bidi="es-AR"/>
        </w:rPr>
      </w:pPr>
      <w:r>
        <w:rPr>
          <w:lang w:val="es-AR" w:eastAsia="es-AR" w:bidi="es-AR"/>
        </w:rPr>
        <w:t xml:space="preserve">No se trató de un mero dolor abstracto: la muerte violenta y súbita en un siniestro vial irrumpe en el centro de la vida doméstica, quiebra rutinas afectivas y priva a la familia de la presencia diaria, con efectos que trascienden lo económico y se proyectan en duelos complejos. Tales extremos, apreciados según las reglas de la sana crítica, satisfacen el estándar de verosimilitud y entidad exigido por los arts. 1738 y 1741 del Código Civil y Comercial para la reparación de consecuencias no patrimoniales.</w:t>
      </w:r>
    </w:p>
    <w:p>
      <w:pPr>
        <w:pStyle w:val="[Normal]"/>
        <w:spacing w:line="360" w:lineRule="auto"/>
        <w:ind w:firstLine="1134"/>
        <w:jc w:val="both"/>
        <w:rPr>
          <w:lang w:val="es-AR" w:eastAsia="es-AR" w:bidi="es-AR"/>
        </w:rPr>
      </w:pPr>
      <w:r>
        <w:rPr>
          <w:lang w:val="es-AR" w:eastAsia="es-AR" w:bidi="es-AR"/>
        </w:rPr>
        <w:t xml:space="preserve">La cuantificación del daño moral debe asentarse en criterios de equidad controlable y guardar proporción con la gravedad del hecho, la cercanía del vínculo y la realidad económica actual.</w:t>
      </w:r>
    </w:p>
    <w:p>
      <w:pPr>
        <w:pStyle w:val="[Normal]"/>
        <w:spacing w:line="360" w:lineRule="auto"/>
        <w:ind w:firstLine="1134"/>
        <w:jc w:val="both"/>
        <w:rPr>
          <w:lang w:val="es-AR" w:eastAsia="es-AR" w:bidi="es-AR"/>
        </w:rPr>
      </w:pPr>
      <w:r>
        <w:rPr>
          <w:lang w:val="es-AR" w:eastAsia="es-AR" w:bidi="es-AR"/>
        </w:rPr>
        <w:t xml:space="preserve">Al respecto, la Sala II de la Cámara Segunda de Apelaciones en lo Civil y Comercial de La Plata ha dicho que: </w:t>
      </w:r>
      <w:r>
        <w:rPr>
          <w:i/>
          <w:lang w:val="es-AR" w:eastAsia="es-AR" w:bidi="es-AR"/>
        </w:rPr>
        <w:t xml:space="preserve">"La muerte repentina e inesperada de un ser querido genera un padecimiento, un dolor, una afección tan profunda que conmueve la estructura familiar toda y no se requiere prueba fehaciente de ello. Es que la muerte de una persona de tan estrecha relación biológica los priva de su compañía, de su apoyo familiar, de su proyecto en definitiva que produce per se un daño moral del cual encuentro absoluta certeza que ha sucedido y debe ser indemnizado"</w:t>
      </w:r>
      <w:r>
        <w:rPr>
          <w:lang w:val="es-AR" w:eastAsia="es-AR" w:bidi="es-AR"/>
        </w:rPr>
        <w:t xml:space="preserve"> (CC0202 LP 139757, </w:t>
      </w:r>
      <w:r>
        <w:rPr>
          <w:i/>
          <w:lang w:val="es-AR" w:eastAsia="es-AR" w:bidi="es-AR"/>
        </w:rPr>
        <w:t xml:space="preserve">"MARQUEZ VALDIVIEZO JUAN Y OTROS C/ RIQUE ANGEL OSVALDO Y OTROS S/ DAÑOS Y PERJ. POR USO AUTOMOT. (C/LES. O MUERTE"</w:t>
      </w:r>
      <w:r>
        <w:rPr>
          <w:lang w:val="es-AR" w:eastAsia="es-AR" w:bidi="es-AR"/>
        </w:rPr>
        <w:t xml:space="preserve">  RS 296/25 S 02/10/2025 ).</w:t>
      </w:r>
    </w:p>
    <w:p>
      <w:pPr>
        <w:pStyle w:val="[Normal]"/>
        <w:spacing w:line="360" w:lineRule="auto"/>
        <w:ind w:firstLine="1134"/>
        <w:jc w:val="both"/>
        <w:rPr>
          <w:lang w:val="es-AR" w:eastAsia="es-AR" w:bidi="es-AR"/>
        </w:rPr>
      </w:pPr>
      <w:r>
        <w:rPr>
          <w:lang w:val="es-AR" w:eastAsia="es-AR" w:bidi="es-AR"/>
        </w:rPr>
        <w:t xml:space="preserve">Las sumas que se fijen deben traducir entonces una evaluación prudente de la entidad del sufrimiento demostrado en autos, evitando tanto la insuficiencia de montos meramente simbólicos como desmesuras desvinculadas del caso concreto.</w:t>
      </w:r>
    </w:p>
    <w:p>
      <w:pPr>
        <w:pStyle w:val="[Normal]"/>
        <w:spacing w:line="360" w:lineRule="auto"/>
        <w:ind w:firstLine="1134"/>
        <w:jc w:val="both"/>
        <w:rPr>
          <w:lang w:val="es-AR" w:eastAsia="es-AR" w:bidi="es-AR"/>
        </w:rPr>
      </w:pPr>
      <w:r>
        <w:rPr>
          <w:lang w:val="es-AR" w:eastAsia="es-AR" w:bidi="es-AR"/>
        </w:rPr>
        <w:t xml:space="preserve">La solución, además, tiene que armonizar con los parámetros que esta Alzada viene empleando en supuestos de muerte con núcleo familiar conviviente, donde se reconoce la necesidad de cuantías que reflejen en valores actuales la magnitud del menoscabo espiritual. </w:t>
      </w:r>
    </w:p>
    <w:p>
      <w:pPr>
        <w:pStyle w:val="[Normal]"/>
        <w:spacing w:line="360" w:lineRule="auto"/>
        <w:ind w:firstLine="1134"/>
        <w:jc w:val="both"/>
        <w:rPr>
          <w:lang w:val="es-AR" w:eastAsia="es-AR" w:bidi="es-AR"/>
        </w:rPr>
      </w:pPr>
      <w:r>
        <w:rPr>
          <w:lang w:val="es-AR" w:eastAsia="es-AR" w:bidi="es-AR"/>
        </w:rPr>
        <w:t xml:space="preserve">A la luz de las consideraciones precedentemente expuestas, corresponde hacer lugar parcialmente al agravio en examen y, en consecuencia, readecuar los montos reconocidos en concepto de daño moral del siguiente modo: para Norma Beatriz Rodríguez, la suma de pesos veintidós millones ($22.000.000); para Claudio Marcelo Rodríguez, la suma de pesos veintiséis millones ($26.000.000); para Ana Patricia Barbarito y Juan Carlos González, la suma de pesos veintidós millones ($22.000.000), (correspondiendo el cincuenta por ciento (50%) a cada uno de ellos); y para Ida Isabel Gandov, la suma de pesos doce millones ($12.000.000).</w:t>
      </w:r>
    </w:p>
    <w:p>
      <w:pPr>
        <w:pStyle w:val="[Normal]"/>
        <w:spacing w:line="360" w:lineRule="auto"/>
        <w:ind w:firstLine="1134"/>
        <w:jc w:val="both"/>
        <w:rPr>
          <w:lang w:val="es-AR" w:eastAsia="es-AR" w:bidi="es-AR"/>
        </w:rPr>
      </w:pPr>
      <w:r>
        <w:rPr>
          <w:lang w:val="es-AR" w:eastAsia="es-AR" w:bidi="es-AR"/>
        </w:rPr>
        <w:t xml:space="preserve">Asimismo, corresponde confirmar el monto reconocido en la instancia de grado a favor del señor José Antonio Nieva, fijado en la suma de pesos doce millones ($12.000.000).</w:t>
      </w:r>
    </w:p>
    <w:p>
      <w:pPr>
        <w:pStyle w:val="[Normal]"/>
        <w:spacing w:line="360" w:lineRule="auto"/>
        <w:ind w:firstLine="1134"/>
        <w:jc w:val="both"/>
        <w:rPr>
          <w:lang w:val="es-AR" w:eastAsia="es-AR" w:bidi="es-AR"/>
        </w:rPr>
      </w:pPr>
      <w:r>
        <w:rPr>
          <w:lang w:val="es-AR" w:eastAsia="es-AR" w:bidi="es-AR"/>
        </w:rPr>
        <w:t xml:space="preserve">Distinta solución voy a propiciar en lo que atañe a los agravios relativos a la pérdida de chance, los cuales, en razón de la diversidad y especificidad de los cuestionamientos articulados, habrán de ser abordados en forma individualizada. </w:t>
      </w:r>
    </w:p>
    <w:p>
      <w:pPr>
        <w:pStyle w:val="[Normal]"/>
        <w:spacing w:line="360" w:lineRule="auto"/>
        <w:ind w:firstLine="1134"/>
        <w:jc w:val="both"/>
        <w:rPr>
          <w:color w:val="000000"/>
          <w:lang w:val="es-AR" w:eastAsia="es-AR" w:bidi="es-AR"/>
        </w:rPr>
      </w:pPr>
      <w:r>
        <w:rPr>
          <w:color w:val="000000"/>
          <w:lang w:val="es-AR" w:eastAsia="es-AR" w:bidi="es-AR"/>
        </w:rPr>
        <w:t xml:space="preserve">Previo al tratamiento en particular de los agravios expuestos por los quejosos, en cuanto al encuadre jurídico del rubro he de seguir los lineamientos expuestos por esta Alzada, cuando en lo que aquí interesa se dijo: "... En este rubro ciertamente lo que se indemniza es la pérdida o frustración de una probabilidad. Coexisten dos elementos: certeza e incertidumbre.  La certeza de que si no hubiera acontecido el incumplimiento o el hecho dañoso la persona damnificada "habría mantenido la esperanza en el futuro que le hubiera permitido obtener una ganancia o evitar una pérdida patrimonial" e incertidumbre de que "manteniéndose la situación de hecho o de derecho que era el presupuesto de la ´chance´, la ganancia se habría en realidad obtenido, o la pérdida se habría evitado (TANZI, Silvia, Rubros de la cuenta indemnizatoria de los daños a la persona, Buenos Aires, Ed. Hammurabi, 2005, pág. 309).</w:t>
      </w:r>
    </w:p>
    <w:p>
      <w:pPr>
        <w:pStyle w:val="[Normal]"/>
        <w:spacing w:line="360" w:lineRule="auto"/>
        <w:ind w:firstLine="1134"/>
        <w:jc w:val="both"/>
        <w:rPr>
          <w:color w:val="000000"/>
          <w:lang w:val="es-AR" w:eastAsia="es-AR" w:bidi="es-AR"/>
        </w:rPr>
      </w:pPr>
      <w:r>
        <w:rPr>
          <w:color w:val="000000"/>
          <w:lang w:val="es-AR" w:eastAsia="es-AR" w:bidi="es-AR"/>
        </w:rPr>
        <w:t xml:space="preserve">El epicentro de la cuestión radica en la certidumbre de la probabilidad.  En virtud de ello, para que el daño resulte resarcible debe tratarse de una probabilidad con entidad suficiente que se quiebra con el hecho dañoso.  Al decir de Orgaz, el abanico varía ya que se desplaza desde la mera posibilidad (probabilidad general y vaga) que no es indemnizable porque estamos ante un daño hipotético, hacia la probabilidad cierta que admite reparación (ORGAZ, Alfredo, El daño resarcible, Córdoba, Ed. Lerner, 1980, pág. 96 y ss.).</w:t>
      </w:r>
    </w:p>
    <w:p>
      <w:pPr>
        <w:pStyle w:val="[Normal]"/>
        <w:spacing w:line="360" w:lineRule="auto"/>
        <w:ind w:firstLine="1134"/>
        <w:jc w:val="both"/>
        <w:rPr>
          <w:color w:val="000000"/>
          <w:lang w:val="es-AR" w:eastAsia="es-AR" w:bidi="es-AR"/>
        </w:rPr>
      </w:pPr>
      <w:r>
        <w:rPr>
          <w:color w:val="000000"/>
          <w:lang w:val="es-AR" w:eastAsia="es-AR" w:bidi="es-AR"/>
        </w:rPr>
        <w:t xml:space="preserve">Estas probabilidades no son fijas, pueden variar y dependen de las circunstancias particulares que surgen del caso concreto.</w:t>
      </w:r>
    </w:p>
    <w:p>
      <w:pPr>
        <w:pStyle w:val="[Normal]"/>
        <w:spacing w:line="360" w:lineRule="auto"/>
        <w:ind w:firstLine="1134"/>
        <w:jc w:val="both"/>
        <w:rPr>
          <w:color w:val="000000"/>
          <w:lang w:val="es-AR" w:eastAsia="es-AR" w:bidi="es-AR"/>
        </w:rPr>
      </w:pPr>
      <w:r>
        <w:rPr>
          <w:color w:val="000000"/>
          <w:lang w:val="es-AR" w:eastAsia="es-AR" w:bidi="es-AR"/>
        </w:rPr>
        <w:t xml:space="preserve">En el supuesto específico de pérdida de chance por la muerte de un hijo, la mayoría de la doctrina y jurisprudencia consideran que ello le hace perder a los padres una chance de contenido económico representada por la expectativa de sostén, apoyo y colaboración en la ancianidad y ante los problemas que la vida puede presentar.</w:t>
      </w:r>
    </w:p>
    <w:p>
      <w:pPr>
        <w:pStyle w:val="[Normal]"/>
        <w:spacing w:line="360" w:lineRule="auto"/>
        <w:ind w:firstLine="1134"/>
        <w:jc w:val="both"/>
        <w:rPr>
          <w:color w:val="000000"/>
          <w:lang w:val="es-AR" w:eastAsia="es-AR" w:bidi="es-AR"/>
        </w:rPr>
      </w:pPr>
      <w:r>
        <w:rPr>
          <w:color w:val="000000"/>
          <w:lang w:val="es-AR" w:eastAsia="es-AR" w:bidi="es-AR"/>
        </w:rPr>
        <w:t xml:space="preserve">Se llega a esta solución positiva aun cuando siempre medien factores aleatorios (los cuales incidirán en la amplitud de la chance) en cuya virtud es posible que la ayuda nunca se preste o se preste en menor cuantía.  Así pues, el daño por privación de una vida debe mirar hacia el pasado (lo que esa vida ya representaba y podía dar de sí, al momento del hecho, pero igualmente hacia el futuro, pues al detenerse el avance existencial se han detenido sus realizaciones expectables; con la muerte no sólo se mutila la vida, y lo que en ese momento y de modo inmediato eran sus frutos concretos, sino además todo un curso de expectativas (Cf. Zavala de González, Matilde, Tratado de daños a las personas Perjuicios económicos por muerte, Tomo II, Buenos Aires, Ed. Astrea, 2008, pág. 52).</w:t>
      </w:r>
    </w:p>
    <w:p>
      <w:pPr>
        <w:pStyle w:val="[Normal]"/>
        <w:spacing w:line="360" w:lineRule="auto"/>
        <w:ind w:firstLine="1134"/>
        <w:jc w:val="both"/>
        <w:rPr>
          <w:lang w:val="es-AR" w:eastAsia="es-AR" w:bidi="es-AR"/>
        </w:rPr>
      </w:pPr>
      <w:r>
        <w:rPr>
          <w:color w:val="000000"/>
          <w:lang w:val="es-AR" w:eastAsia="es-AR" w:bidi="es-AR"/>
        </w:rPr>
        <w:t xml:space="preserve">En tal sentido, la Cámara Civil y Comercial de Lomas de Zamora ha dicho que: "La indemnización por fallecimiento de un hijo comprende la pérdida de chance, entendida ésta como frustración de la legítima esperanza de asistencia y sostén que en la vejez o enfermedad es dable esperar a los padres" (Cámara de Apelaciones en lo Civil y Comercial de Lomas de Zamora, Sala II, 19/11/99, LLBA, 2000-315)..." ( CAP: C 2348-19 caratulados "Muises Silvia Mónica y otro c/ Ratto  Reinaldo y otros s/ Daños y Perjuicios ).</w:t>
      </w:r>
    </w:p>
    <w:p>
      <w:pPr>
        <w:pStyle w:val="[Normal]"/>
        <w:spacing w:line="360" w:lineRule="auto"/>
        <w:ind w:firstLine="1134"/>
        <w:jc w:val="both"/>
        <w:rPr>
          <w:lang w:val="es-AR" w:eastAsia="es-AR" w:bidi="es-AR"/>
        </w:rPr>
      </w:pPr>
      <w:r>
        <w:rPr>
          <w:lang w:val="es-AR" w:eastAsia="es-AR" w:bidi="es-AR"/>
        </w:rPr>
        <w:t xml:space="preserve">Ahora bien, entrando al tratamiento particular comenzaré por los los agravios articulados por Norma Beatriz Rodríguez que se sustentan en la afirmación de que en autos habría quedado acreditada, de modo indubitado, tanto la existencia de la relación laboral como los ingresos de Noelia Samanta Svilicich, de 34 años de edad.</w:t>
      </w:r>
    </w:p>
    <w:p>
      <w:pPr>
        <w:pStyle w:val="[Normal]"/>
        <w:spacing w:line="360" w:lineRule="auto"/>
        <w:ind w:firstLine="1134"/>
        <w:jc w:val="both"/>
        <w:rPr>
          <w:lang w:val="es-AR" w:eastAsia="es-AR" w:bidi="es-AR"/>
        </w:rPr>
      </w:pPr>
      <w:r>
        <w:rPr>
          <w:lang w:val="es-AR" w:eastAsia="es-AR" w:bidi="es-AR"/>
        </w:rPr>
        <w:t xml:space="preserve">No obstante, adelanto que la queja no resulta idónea para conmover los sólidos fundamentos expuestos por el magistrado de grado. En efecto, si bien asiste razón a la apelante en cuanto a que los testimonios brindados por Bonjour, Lanzelotti y Azcune resultan contestes al señalar que la causante cursaba estudios y se desempeñaba impartiendo clases en el ámbito de Bellas Artes, así como también realizando tareas de fotocopiado en la Escuela Normal, lo cierto es que no obran en autos elementos probatorios fehacientes que acrediten, con el grado de certeza exigible, la carga horaria cumplida ni los ingresos efectivamente percibidos.</w:t>
      </w:r>
    </w:p>
    <w:p>
      <w:pPr>
        <w:pStyle w:val="[Normal]"/>
        <w:spacing w:line="360" w:lineRule="auto"/>
        <w:ind w:firstLine="1134"/>
        <w:jc w:val="both"/>
        <w:rPr>
          <w:lang w:val="es-AR" w:eastAsia="es-AR" w:bidi="es-AR"/>
        </w:rPr>
      </w:pPr>
      <w:r>
        <w:rPr>
          <w:lang w:val="es-AR" w:eastAsia="es-AR" w:bidi="es-AR"/>
        </w:rPr>
        <w:t xml:space="preserve">Es decir, a juzgar por los ingresos denunciados y la actividad productiva realizada, era dable esperar que la parte actora aportara prueba documental o informativa indicativa de la realidad económica de la víctima. Verbigracia, facturación, resúmenes de cuenta bancaria, declaraciones impositivas, etc. Sin embargo, no obran constancias documentales en el expediente que permitan colegir tales aspectos.  Para más, los dichos de los testigos no resultan concordantes ni precisos en sus observaciones.</w:t>
      </w:r>
    </w:p>
    <w:p>
      <w:pPr>
        <w:pStyle w:val="[Normal]"/>
        <w:spacing w:line="360" w:lineRule="auto"/>
        <w:ind w:firstLine="1134"/>
        <w:jc w:val="both"/>
        <w:rPr>
          <w:lang w:val="es-AR" w:eastAsia="es-AR" w:bidi="es-AR"/>
        </w:rPr>
      </w:pPr>
      <w:r>
        <w:rPr>
          <w:lang w:val="es-AR" w:eastAsia="es-AR" w:bidi="es-AR"/>
        </w:rPr>
        <w:t xml:space="preserve">En tales condiciones, no corresponde acoger la queja ensayada, en tanto no se advierte vulneración alguna al principio de reparación integral ni desproporción en la cuantía reconocida, la que luce ajustada a las circunstancias ponderadas por el sentenciante, quien ha aplicado correctamente las pautas establecidas en el art. 1745 del CCYC.</w:t>
      </w:r>
    </w:p>
    <w:p>
      <w:pPr>
        <w:pStyle w:val="[Normal]"/>
        <w:spacing w:line="360" w:lineRule="auto"/>
        <w:ind w:firstLine="1134"/>
        <w:jc w:val="both"/>
        <w:rPr>
          <w:lang w:val="es-AR" w:eastAsia="es-AR" w:bidi="es-AR"/>
        </w:rPr>
      </w:pPr>
      <w:r>
        <w:rPr>
          <w:lang w:val="es-AR" w:eastAsia="es-AR" w:bidi="es-AR"/>
        </w:rPr>
        <w:t xml:space="preserve">En efecto, el a quo ha considerado, a los fines de la mensuración del daño, la edad de la víctima, las tareas que desarrollaba y la edad de la progenitora (61 años), y, ante la ausencia de acreditación fehaciente de ingresos, ha recurrido como pauta orientadora al salario mínimo, vital y móvil, estimando la probabilidad de asistencia económica que la fallecida habría brindado a su madre durante el lapso razonable en que ésta hubiera podido recibirla.</w:t>
      </w:r>
    </w:p>
    <w:p>
      <w:pPr>
        <w:pStyle w:val="[Normal]"/>
        <w:spacing w:line="360" w:lineRule="auto"/>
        <w:ind w:firstLine="1134"/>
        <w:jc w:val="both"/>
        <w:rPr>
          <w:lang w:val="es-AR" w:eastAsia="es-AR" w:bidi="es-AR"/>
        </w:rPr>
      </w:pPr>
      <w:r>
        <w:rPr>
          <w:lang w:val="es-AR" w:eastAsia="es-AR" w:bidi="es-AR"/>
        </w:rPr>
        <w:t xml:space="preserve">Por todo lo expuesto, corresponde confirmar el monto indemnizatorio fijado en la instancia de grado, el cual asciende a la suma de pesos dieciséis millones setecientos cuarenta y cuatro mil ($16.744.000), en favor de Norma Beatriz Rodríguez.</w:t>
      </w:r>
    </w:p>
    <w:p>
      <w:pPr>
        <w:pStyle w:val="[Normal]"/>
        <w:spacing w:line="360" w:lineRule="auto"/>
        <w:ind w:firstLine="1134"/>
        <w:jc w:val="both"/>
        <w:rPr>
          <w:lang w:val="es-AR" w:eastAsia="es-AR" w:bidi="es-AR"/>
        </w:rPr>
      </w:pPr>
      <w:r>
        <w:rPr>
          <w:lang w:val="es-AR" w:eastAsia="es-AR" w:bidi="es-AR"/>
        </w:rPr>
        <w:t xml:space="preserve">En lo que respecta a los deducidos por Claudio Marcelo Rodríguez, en su carácter de progenitor de Emilse Rodríguez Svilicich, de seis años de edad, cabe señalar que su disconformidad también se centra en la utilización del salario mínimo, vital y móvil como pauta para la determinación de los ingresos de la menor.</w:t>
      </w:r>
    </w:p>
    <w:p>
      <w:pPr>
        <w:pStyle w:val="[Normal]"/>
        <w:spacing w:line="360" w:lineRule="auto"/>
        <w:ind w:firstLine="1134"/>
        <w:jc w:val="both"/>
        <w:rPr>
          <w:lang w:val="es-AR" w:eastAsia="es-AR" w:bidi="es-AR"/>
        </w:rPr>
      </w:pPr>
      <w:r>
        <w:rPr>
          <w:lang w:val="es-AR" w:eastAsia="es-AR" w:bidi="es-AR"/>
        </w:rPr>
        <w:t xml:space="preserve">La queja del apelante se sustenta, esencialmente, en afirmar que resultaría injusto que, de manera arbitraria y unilateral, se presuma que la niña, al alcanzar edad laboral, no habría de generar ingresos de mayor entidad, máxime considerando el ejemplo brindado por sus progenitores, a quienes califica como trabajadores y emprendedores. Sin embargo, tales alegaciones no logran trascender el plano meramente conjetural.</w:t>
      </w:r>
    </w:p>
    <w:p>
      <w:pPr>
        <w:pStyle w:val="[Normal]"/>
        <w:spacing w:line="360" w:lineRule="auto"/>
        <w:ind w:firstLine="1134"/>
        <w:jc w:val="both"/>
        <w:rPr>
          <w:lang w:val="es-AR" w:eastAsia="es-AR" w:bidi="es-AR"/>
        </w:rPr>
      </w:pPr>
      <w:r>
        <w:rPr>
          <w:lang w:val="es-AR" w:eastAsia="es-AR" w:bidi="es-AR"/>
        </w:rPr>
        <w:t xml:space="preserve">En efecto, la sentencia recurrida exhibe una adecuada fundamentación, sin que se advierta el sesgo de arbitrariedad que el recurrente pretende endilgarle.  Por el contrario, el a quo ha recurrido a un criterio prudente y razonable ante la ausencia de elementos objetivos que permitan inferir con mayor precisión la eventual capacidad productiva futura de la menor.</w:t>
      </w:r>
    </w:p>
    <w:p>
      <w:pPr>
        <w:pStyle w:val="[Normal]"/>
        <w:spacing w:line="360" w:lineRule="auto"/>
        <w:ind w:firstLine="1134"/>
        <w:jc w:val="both"/>
        <w:rPr>
          <w:lang w:val="es-AR" w:eastAsia="es-AR" w:bidi="es-AR"/>
        </w:rPr>
      </w:pPr>
      <w:r>
        <w:rPr>
          <w:lang w:val="es-AR" w:eastAsia="es-AR" w:bidi="es-AR"/>
        </w:rPr>
        <w:t xml:space="preserve">Así, a los fines de la mensuración del rubro, el sentenciante fijó una pauta equivalente al veinte por ciento (20%) del salario mínimo, vital y móvil, proyectada por un lapso de quince años, estimado como período probable de asistencia económica.</w:t>
      </w:r>
    </w:p>
    <w:p>
      <w:pPr>
        <w:pStyle w:val="[Normal]"/>
        <w:spacing w:line="360" w:lineRule="auto"/>
        <w:ind w:firstLine="1134"/>
        <w:jc w:val="both"/>
        <w:rPr>
          <w:lang w:val="es-AR" w:eastAsia="es-AR" w:bidi="es-AR"/>
        </w:rPr>
      </w:pPr>
      <w:r>
        <w:rPr>
          <w:lang w:val="es-AR" w:eastAsia="es-AR" w:bidi="es-AR"/>
        </w:rPr>
        <w:t xml:space="preserve">En consecuencia, al no haber el accionante logrado desvirtuar los sólidos fundamentos expuestos en la instancia de grado, corresponde confirmar el monto indemnizatorio establecido de pesos doce millones quinientos cincuenta y ocho mil ($12.558.000).</w:t>
      </w:r>
    </w:p>
    <w:p>
      <w:pPr>
        <w:pStyle w:val="[Normal]"/>
        <w:spacing w:line="360" w:lineRule="auto"/>
        <w:ind w:firstLine="1134"/>
        <w:jc w:val="both"/>
        <w:rPr>
          <w:lang w:val="es-AR" w:eastAsia="es-AR" w:bidi="es-AR"/>
        </w:rPr>
      </w:pPr>
      <w:r>
        <w:rPr>
          <w:lang w:val="es-AR" w:eastAsia="es-AR" w:bidi="es-AR"/>
        </w:rPr>
        <w:t xml:space="preserve">En cuanto a la queja de Ana Patricia Barbarito y Juan Carlos González, en su carácter de progenitores de Carlos Emanuel González, de 26 años de edad, cabe señalar que su disconformidad radica en que el a quo haya adoptado el salario mínimo, vital y móvil como pauta de referencia, pese a considerar que la prueba producida en autos acreditaría las actividades laborales desarrolladas por su hijo y los ingresos que de ellas se derivaban.  Alegan que el causante, además de percibir una pensión por invalidez, se desempeñaba como docente, impartía clases en distintos establecimientos y colaboraba con su padre en tareas de perforación.</w:t>
      </w:r>
    </w:p>
    <w:p>
      <w:pPr>
        <w:pStyle w:val="[Normal]"/>
        <w:spacing w:line="360" w:lineRule="auto"/>
        <w:ind w:firstLine="1134"/>
        <w:jc w:val="both"/>
        <w:rPr>
          <w:lang w:val="es-AR" w:eastAsia="es-AR" w:bidi="es-AR"/>
        </w:rPr>
      </w:pPr>
      <w:r>
        <w:rPr>
          <w:lang w:val="es-AR" w:eastAsia="es-AR" w:bidi="es-AR"/>
        </w:rPr>
        <w:t xml:space="preserve">Sin embargo, corresponde señalar que la única circunstancia debidamente acreditada en autos consiste en la percepción de una pensión no contributiva por discapacidad, la cual ascendía, en el año 2018, a la suma de $5.667,41. A su vez, a la fecha del dictado de la sentencia (momento tomado como base para la cuantificación) dicha prestación alcanzaba la suma de $294.194 -visualizado a través de Anses-, importe que resulta inferior al salario mínimo, vital y móvil considerado por el sentenciante ($322.000).</w:t>
      </w:r>
    </w:p>
    <w:p>
      <w:pPr>
        <w:pStyle w:val="[Normal]"/>
        <w:spacing w:line="360" w:lineRule="auto"/>
        <w:ind w:firstLine="1134"/>
        <w:jc w:val="both"/>
        <w:rPr>
          <w:lang w:val="es-AR" w:eastAsia="es-AR" w:bidi="es-AR"/>
        </w:rPr>
      </w:pPr>
      <w:r>
        <w:rPr>
          <w:lang w:val="es-AR" w:eastAsia="es-AR" w:bidi="es-AR"/>
        </w:rPr>
        <w:t xml:space="preserve">Esta referencia normativa permite sustentar el monto adoptado con base en un índice oficial, público y actualizado, dotado de razonabilidad económica y jurídica, lo cual refuerza su adecuación como pauta de valoración sustitutiva frente a las deficiencias probatorias del caso.  En efecto, si bien la parte actora ha invocado una determinada actividad laboral y un nivel de ingresos asociado a la misma, lo cierto es que el plexo probatorio producido no logra acreditarlo con suficiencia -en particular, por la ausencia de documentación respaldatoria objetiva (como recibos de sueldo, constancias fiscales o registros bancarios)-, debiendo entonces acudirse a un criterio prudencial que combine los elementos verosímiles de la causa con parámetros económicos de difusión general, evitando así incurrir en estimaciones arbitrarias o excesivas (arts. 1737 y cctes. del CCyC).</w:t>
      </w:r>
    </w:p>
    <w:p>
      <w:pPr>
        <w:pStyle w:val="[Normal]"/>
        <w:spacing w:line="360" w:lineRule="auto"/>
        <w:ind w:firstLine="1134"/>
        <w:jc w:val="both"/>
        <w:rPr>
          <w:lang w:val="es-AR" w:eastAsia="es-AR" w:bidi="es-AR"/>
        </w:rPr>
      </w:pPr>
      <w:r>
        <w:rPr>
          <w:lang w:val="es-AR" w:eastAsia="es-AR" w:bidi="es-AR"/>
        </w:rPr>
        <w:t xml:space="preserve">En lo que respecta a las restantes actividades invocadas, las mismas no han sido debidamente acreditadas mediante prueba idónea, no siendo suficientes, a tales fines, las referencias testimoniales.</w:t>
      </w:r>
    </w:p>
    <w:p>
      <w:pPr>
        <w:pStyle w:val="[Normal]"/>
        <w:spacing w:line="360" w:lineRule="auto"/>
        <w:ind w:firstLine="1134"/>
        <w:jc w:val="both"/>
        <w:rPr>
          <w:lang w:val="es-AR" w:eastAsia="es-AR" w:bidi="es-AR"/>
        </w:rPr>
      </w:pPr>
      <w:r>
        <w:rPr>
          <w:lang w:val="es-AR" w:eastAsia="es-AR" w:bidi="es-AR"/>
        </w:rPr>
        <w:t xml:space="preserve">En tales condiciones, no se advierte que el criterio adoptado por el a quo resulte irrazonable o arbitrario, sino, por el contrario, se presenta como una solución prudente frente a la ausencia de elementos objetivos suficientes para una determinación más precisa.</w:t>
      </w:r>
    </w:p>
    <w:p>
      <w:pPr>
        <w:pStyle w:val="[Normal]"/>
        <w:spacing w:line="360" w:lineRule="auto"/>
        <w:ind w:firstLine="1134"/>
        <w:jc w:val="both"/>
        <w:rPr>
          <w:lang w:val="es-AR" w:eastAsia="es-AR" w:bidi="es-AR"/>
        </w:rPr>
      </w:pPr>
      <w:r>
        <w:rPr>
          <w:lang w:val="es-AR" w:eastAsia="es-AR" w:bidi="es-AR"/>
        </w:rPr>
        <w:t xml:space="preserve">Por consiguiente, corresponde confirmar el monto indemnizatorio fijado en la instancia de grado en concepto de pérdida de chance de pesos dieciséis millones setecientos cuarenta y cuatro mil ($16.744.000).</w:t>
      </w:r>
    </w:p>
    <w:p>
      <w:pPr>
        <w:pStyle w:val="[Normal]"/>
        <w:spacing w:line="360" w:lineRule="auto"/>
        <w:ind w:firstLine="1134"/>
        <w:jc w:val="both"/>
        <w:rPr>
          <w:lang w:val="es-AR" w:eastAsia="es-AR" w:bidi="es-AR"/>
        </w:rPr>
      </w:pPr>
      <w:r>
        <w:rPr>
          <w:lang w:val="es-AR" w:eastAsia="es-AR" w:bidi="es-AR"/>
        </w:rPr>
        <w:t xml:space="preserve">Por último, igual suerte adversa ha de correr el planteo articulado por José Antonio Nievas e Ida Isabel Gandov, en su carácter de progenitores de Lucía Belén de 28 años de edad quienes sostienen que se encontraría acreditado que la causante se desempeñaba como docente y, asimismo, trabajaba en un kiosco.</w:t>
      </w:r>
    </w:p>
    <w:p>
      <w:pPr>
        <w:pStyle w:val="[Normal]"/>
        <w:spacing w:line="360" w:lineRule="auto"/>
        <w:ind w:firstLine="1134"/>
        <w:jc w:val="both"/>
        <w:rPr>
          <w:lang w:val="es-AR" w:eastAsia="es-AR" w:bidi="es-AR"/>
        </w:rPr>
      </w:pPr>
      <w:r>
        <w:rPr>
          <w:lang w:val="es-AR" w:eastAsia="es-AR" w:bidi="es-AR"/>
        </w:rPr>
        <w:t xml:space="preserve">Sin embargo, conforme se ha señalado a lo largo del presente voto, la prueba testimonial producida no resulta suficiente, por sí sola, para tener por configurada con el debido grado de certeza la entidad de los ingresos que correspondería considerar a los fines de su cuantificación.</w:t>
      </w:r>
    </w:p>
    <w:p>
      <w:pPr>
        <w:pStyle w:val="[Normal]"/>
        <w:spacing w:line="360" w:lineRule="auto"/>
        <w:ind w:firstLine="1134"/>
        <w:jc w:val="both"/>
        <w:rPr>
          <w:lang w:val="es-AR" w:eastAsia="es-AR" w:bidi="es-AR"/>
        </w:rPr>
      </w:pPr>
      <w:r>
        <w:rPr>
          <w:lang w:val="es-AR" w:eastAsia="es-AR" w:bidi="es-AR"/>
        </w:rPr>
        <w:t xml:space="preserve">En tal contexto, el sentenciante ha recurrido a una pauta objetiva y de público conocimiento, como lo es el salario mínimo, vital y móvil, en una estimación que se aprecia prudente y razonable, máxime ante la ausencia de otros elementos probatorios idóneos que permitan corroborar y precisar los extremos invocados por los recurrentes.</w:t>
      </w:r>
    </w:p>
    <w:p>
      <w:pPr>
        <w:pStyle w:val="[Normal]"/>
        <w:spacing w:line="360" w:lineRule="auto"/>
        <w:ind w:firstLine="1134"/>
        <w:jc w:val="both"/>
        <w:rPr>
          <w:lang w:val="es-AR" w:eastAsia="es-AR" w:bidi="es-AR"/>
        </w:rPr>
      </w:pPr>
      <w:r>
        <w:rPr>
          <w:lang w:val="es-AR" w:eastAsia="es-AR" w:bidi="es-AR"/>
        </w:rPr>
        <w:t xml:space="preserve">En consecuencia, no se advierten razones que justifiquen apartarse del criterio adoptado en la instancia de grado, por lo que corresponde proponer al Acuerdo la confirmación del monto indemnizatorio fijado, en a la suma de pesos ocho millones trescientos setenta y dos mil ($8.372.000) para cada uno de los progenitores.</w:t>
      </w:r>
    </w:p>
    <w:p>
      <w:pPr>
        <w:pStyle w:val="[Normal]"/>
        <w:spacing w:line="360" w:lineRule="auto"/>
        <w:ind w:firstLine="1134"/>
        <w:jc w:val="both"/>
        <w:rPr>
          <w:color w:val="000000"/>
          <w:lang w:val="es-AR" w:eastAsia="es-AR" w:bidi="es-AR"/>
        </w:rPr>
      </w:pPr>
      <w:r>
        <w:rPr>
          <w:lang w:val="es-AR" w:eastAsia="es-AR" w:bidi="es-AR"/>
        </w:rPr>
        <w:t xml:space="preserve">12) </w:t>
      </w:r>
      <w:r>
        <w:rPr>
          <w:b/>
          <w:lang w:val="es-AR" w:eastAsia="es-AR" w:bidi="es-AR"/>
        </w:rPr>
        <w:t xml:space="preserve">Intereses</w:t>
      </w:r>
      <w:r>
        <w:rPr>
          <w:lang w:val="es-AR" w:eastAsia="es-AR" w:bidi="es-AR"/>
        </w:rPr>
        <w:t xml:space="preserve">: En relación a los intereses, entiendo que la competencia revisora de este Tribunal para modificar el punto de referencia ha quedado habilitada al expresarse los agravios relativos a los rubros indemnizatorios reclamados los que llevan virtualmente implícito el de los intereses aplicables a tales conceptos, dada la </w:t>
      </w:r>
      <w:r>
        <w:rPr>
          <w:color w:val="000000"/>
          <w:lang w:val="es-AR" w:eastAsia="es-AR" w:bidi="es-AR"/>
        </w:rPr>
        <w:t xml:space="preserve">inevitable conexión entre el momento de cuantificación del daño y la tasa de interés aplicable, como así también la relación de accesoriedad de ésta última respecto a la condena de daños y perjuicios.</w:t>
      </w:r>
    </w:p>
    <w:p>
      <w:pPr>
        <w:pStyle w:val="[Normal]"/>
        <w:spacing w:line="360" w:lineRule="auto"/>
        <w:ind w:firstLine="1134"/>
        <w:jc w:val="both"/>
        <w:rPr>
          <w:lang w:val="es-AR" w:eastAsia="es-AR" w:bidi="es-AR"/>
        </w:rPr>
      </w:pPr>
      <w:r>
        <w:rPr>
          <w:lang w:val="es-AR" w:eastAsia="es-AR" w:bidi="es-AR"/>
        </w:rPr>
        <w:t xml:space="preserve">En virtud de ello, propongo la modificación de los intereses del rubro daño moral solo respecto de quienes obtuvieron una modificación en las sumas asignadas aplicando una </w:t>
      </w:r>
      <w:r>
        <w:rPr>
          <w:color w:val="000000"/>
          <w:lang w:val="es-AR" w:eastAsia="es-AR" w:bidi="es-AR"/>
        </w:rPr>
        <w:t xml:space="preserve">tasa pura del 6% a devengarse desde la fecha del hecho dañoso (18/08/2018) hasta la fecha de esta sentencia.  Y desde allí se aplicará la tasa pasiva más alta que paga el Banco de la Provincia de Buenos Aires para sus</w:t>
      </w:r>
      <w:r>
        <w:rPr>
          <w:lang w:val="es-AR" w:eastAsia="es-AR" w:bidi="es-AR"/>
        </w:rPr>
        <w:t xml:space="preserve"> depósitos a treinta días </w:t>
      </w:r>
      <w:r>
        <w:rPr>
          <w:color w:val="000000"/>
          <w:lang w:val="es-AR" w:eastAsia="es-AR" w:bidi="es-AR"/>
        </w:rPr>
        <w:t xml:space="preserve">hasta el momento del efectivo pago </w:t>
      </w:r>
      <w:r>
        <w:rPr>
          <w:lang w:val="es-AR" w:eastAsia="es-AR" w:bidi="es-AR"/>
        </w:rPr>
        <w:t xml:space="preserve">(Cf. causas C. 101.774, "Ponce" y L. 94.446, "Ginossi" (ambas sents. de 21-X-2009) y C. 119.176, "Cabrera" (sent. de 15-VI-2016, y arts. 1737, 1738, 1739, 1740, 1744 y 1746 y Ccs. del Cgo. Civil, art. 165 del C.P.C. y C.).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parcialmente el recurso de apelación deducido por la parte actora en punto al daño moral para los distintos afectados, los que se ven incrementados conforme los importes que obran discriminados  en los considerandos de la presente. Confirmar en todo lo demás la sentencia apelada por las distintas partes de este juicio.-</w:t>
      </w:r>
    </w:p>
    <w:p>
      <w:pPr>
        <w:pStyle w:val="[Normal]"/>
        <w:spacing w:line="360" w:lineRule="auto"/>
        <w:ind w:firstLine="1134"/>
        <w:jc w:val="both"/>
        <w:rPr>
          <w:lang w:val="es-AR" w:eastAsia="es-AR" w:bidi="es-AR"/>
        </w:rPr>
      </w:pPr>
      <w:r>
        <w:rPr>
          <w:lang w:val="es-AR" w:eastAsia="es-AR" w:bidi="es-AR"/>
        </w:rPr>
        <w:t xml:space="preserve">Rechazar los restantes recursos de apelación deducidos.-</w:t>
      </w:r>
    </w:p>
    <w:p>
      <w:pPr>
        <w:pStyle w:val="[Normal]"/>
        <w:spacing w:line="360" w:lineRule="auto"/>
        <w:ind w:firstLine="1134"/>
        <w:jc w:val="both"/>
        <w:rPr>
          <w:lang w:val="es-AR" w:eastAsia="es-AR" w:bidi="es-AR"/>
        </w:rPr>
      </w:pPr>
      <w:r>
        <w:rPr>
          <w:lang w:val="es-AR" w:eastAsia="es-AR" w:bidi="es-AR"/>
        </w:rPr>
        <w:t xml:space="preserve">Costas a la parte demandada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de los letrados y peritos hasta tanto obre en autos liquidación firme (art. 31 ley arancelaria).-</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Acoger parcialmente el recurso de apelación deducido por la parte actora en punto al daño moral para los distintos afectados, los que se ven incrementados conforme los importes que obran discriminados en los considerandos de la presente.-</w:t>
      </w:r>
    </w:p>
    <w:p>
      <w:pPr>
        <w:pStyle w:val="[Normal]"/>
        <w:spacing w:line="360" w:lineRule="auto"/>
        <w:ind w:firstLine="1134"/>
        <w:jc w:val="both"/>
        <w:rPr>
          <w:lang w:val="es-AR" w:eastAsia="es-AR" w:bidi="es-AR"/>
        </w:rPr>
      </w:pPr>
      <w:r>
        <w:rPr>
          <w:lang w:val="es-AR" w:eastAsia="es-AR" w:bidi="es-AR"/>
        </w:rPr>
        <w:t xml:space="preserve">Confirmar en todo lo demás la sentencia apelada.-</w:t>
      </w:r>
    </w:p>
    <w:p>
      <w:pPr>
        <w:pStyle w:val="[Normal]"/>
        <w:spacing w:line="360" w:lineRule="auto"/>
        <w:ind w:firstLine="1134"/>
        <w:jc w:val="both"/>
        <w:rPr>
          <w:lang w:val="es-AR" w:eastAsia="es-AR" w:bidi="es-AR"/>
        </w:rPr>
      </w:pPr>
      <w:r>
        <w:rPr>
          <w:lang w:val="es-AR" w:eastAsia="es-AR" w:bidi="es-AR"/>
        </w:rPr>
        <w:t xml:space="preserve">Rechazar los restantes recursos de apelación deducidos.-</w:t>
      </w:r>
    </w:p>
    <w:p>
      <w:pPr>
        <w:pStyle w:val="[Normal]"/>
        <w:spacing w:line="360" w:lineRule="auto"/>
        <w:ind w:firstLine="1134"/>
        <w:jc w:val="both"/>
        <w:rPr>
          <w:lang w:val="es-AR" w:eastAsia="es-AR" w:bidi="es-AR"/>
        </w:rPr>
      </w:pPr>
      <w:r>
        <w:rPr>
          <w:lang w:val="es-AR" w:eastAsia="es-AR" w:bidi="es-AR"/>
        </w:rPr>
        <w:t xml:space="preserve">Costas a la parte demandada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de los letrados y peritos hasta tanto obre en autos liquidación firme (art. 31 ley arancelaria).-</w:t>
      </w:r>
    </w:p>
    <w:p>
      <w:pPr>
        <w:pStyle w:val="[Normal]"/>
        <w:spacing w:line="360" w:lineRule="auto"/>
        <w:ind w:firstLine="1134"/>
        <w:jc w:val="both"/>
        <w:rPr>
          <w:lang w:val="es-AR" w:eastAsia="es-AR" w:bidi="es-AR"/>
        </w:rPr>
      </w:pPr>
      <w:r>
        <w:rPr>
          <w:color w:val="000000"/>
          <w:lang w:val="es-AR" w:eastAsia="es-AR" w:bidi="es-AR"/>
        </w:rPr>
        <w:t xml:space="preserve">Glósese copia de la presente a su acumulada n° 5879-25 </w:t>
      </w:r>
      <w:r>
        <w:rPr>
          <w:b/>
          <w:color w:val="000000"/>
          <w:lang w:val="es-AR" w:eastAsia="es-AR" w:bidi="es-AR"/>
        </w:rPr>
        <w:t xml:space="preserve">"GANDOV IDA ISABEL C/ SMITH DANILO LEON Y OTROS S/ DAÑOS Y PERJ. AUTOM. C/LES. O MUERTE (EXC.ESTADO)" </w:t>
      </w:r>
      <w:r>
        <w:rPr>
          <w:lang w:val="es-AR" w:eastAsia="es-AR" w:bidi="es-AR"/>
        </w:rPr>
        <w:t xml:space="preserve">Expte. n° 64.204 del Juzgado en lo Civil y Comercial N° 3 departamental.</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20217740364@NOTIFICACIONES.SCBA.GOV.AR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20185007198@NOTIFICACIONES.SCBA.GOV.AR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20124348782@NOTIFICACIONES.SCBA.GOV.AR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27290054775@NOTIFICACIONES.SCBA.GOV.AR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05/05/2026 09:59:57 -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05/05/2026 10:32:29 -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05/05/2026 11:53:31 -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‰7S")è&amp;rE6EŠ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235102090006823722</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05/05/2026 11:53:50 hs. bajo el número RS-72-2026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STRONG">
    <w:name w:val="STRONG"/>
    <w:qFormat/>
    <w:rPr>
      <w:b/>
      <w:b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