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5946-25</w:t>
      </w:r>
      <w:r>
        <w:rPr>
          <w:lang w:val="es-AR" w:eastAsia="es-AR" w:bidi="es-AR"/>
        </w:rPr>
        <w:t xml:space="preserve"> caratulada </w:t>
      </w:r>
      <w:r>
        <w:rPr>
          <w:b/>
          <w:lang w:val="es-AR" w:eastAsia="es-AR" w:bidi="es-AR"/>
        </w:rPr>
        <w:t xml:space="preserve">"</w:t>
      </w:r>
      <w:r>
        <w:rPr>
          <w:b/>
          <w:color w:val="000000"/>
          <w:lang w:val="es-AR" w:eastAsia="es-AR" w:bidi="es-AR"/>
        </w:rPr>
        <w:t xml:space="preserve">BUONPENSIERE MARGARITA Y OTRO/A C/ COVACEVICH SILVANA MARCELA Y OTROS S/ DAÑOS Y PERJ.AUTOM. C/LES. O MUERTE (EXC.ESTADO)</w:t>
      </w:r>
      <w:r>
        <w:rPr>
          <w:b/>
          <w:lang w:val="es-AR" w:eastAsia="es-AR" w:bidi="es-AR"/>
        </w:rPr>
        <w:t xml:space="preserve">"</w:t>
      </w:r>
      <w:r>
        <w:rPr>
          <w:lang w:val="es-AR" w:eastAsia="es-AR" w:bidi="es-AR"/>
        </w:rPr>
        <w:t xml:space="preserve">, Expte. 79263</w:t>
      </w:r>
      <w:r>
        <w:rPr>
          <w:color w:val="000000"/>
          <w:lang w:val="es-AR" w:eastAsia="es-AR" w:bidi="es-AR"/>
        </w:rPr>
        <w:t xml:space="preserve"> </w:t>
      </w:r>
      <w:r>
        <w:rPr>
          <w:lang w:val="es-AR" w:eastAsia="es-AR" w:bidi="es-AR"/>
        </w:rPr>
        <w:t xml:space="preserve">del Juzgado Civil y Comercial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rechazó la demanda incoada por la Sra. Margarita Buonpensiere y el Sr. Eduardo Reinaldo Salemi por Daños y Perjuicios contra el Sr. Tomás Horacio Poracchia, la Sra. Silvana Marcela Covacevich y la citada en garantía Caja de Seguros Sociedad Anónima. Aplicó las costas a la parte actora vencida. Difirió la regulación de honorarios de los letrados intervinientes y de los peritos.</w:t>
      </w:r>
    </w:p>
    <w:p>
      <w:pPr>
        <w:pStyle w:val="[Normal]"/>
        <w:spacing w:line="360" w:lineRule="auto"/>
        <w:ind w:firstLine="1134"/>
        <w:jc w:val="both"/>
        <w:rPr>
          <w:lang w:val="es-AR" w:eastAsia="es-AR" w:bidi="es-AR"/>
        </w:rPr>
      </w:pPr>
      <w:r>
        <w:rPr>
          <w:lang w:val="es-AR" w:eastAsia="es-AR" w:bidi="es-AR"/>
        </w:rPr>
        <w:t xml:space="preserve">Disconforme con lo resuelto, interpone recurso de apelación la parte actora 1-12-2025, quien lo funda 1-2-2026. Habiendo la parte demandada contestado el traslado conferido 13-2-2026.-</w:t>
      </w:r>
    </w:p>
    <w:p>
      <w:pPr>
        <w:pStyle w:val="[Normal]"/>
        <w:spacing w:line="360" w:lineRule="auto"/>
        <w:ind w:firstLine="1134"/>
        <w:jc w:val="both"/>
        <w:rPr>
          <w:lang w:val="es-AR" w:eastAsia="es-AR" w:bidi="es-AR"/>
        </w:rPr>
      </w:pPr>
      <w:r>
        <w:rPr>
          <w:lang w:val="es-AR" w:eastAsia="es-AR" w:bidi="es-AR"/>
        </w:rPr>
        <w:t xml:space="preserve">Con fecha 3-3-2026, llamamiento de autos para sentencia, providencia que firme a la fecha deja la causa en condiciones de ser tratada.-</w:t>
      </w:r>
    </w:p>
    <w:p>
      <w:pPr>
        <w:pStyle w:val="[Normal]"/>
        <w:spacing w:line="360" w:lineRule="auto"/>
        <w:ind w:firstLine="1134"/>
        <w:jc w:val="both"/>
        <w:rPr>
          <w:lang w:val="es-AR" w:eastAsia="es-AR" w:bidi="es-AR"/>
        </w:rPr>
      </w:pPr>
      <w:r>
        <w:rPr>
          <w:lang w:val="es-AR" w:eastAsia="es-AR" w:bidi="es-AR"/>
        </w:rPr>
        <w:t xml:space="preserve">La parte actora se agravia de la sentencia de grado en cuanto rechazó la demanda atribuyendo al actor la culpa exclusiva en la producción del accidente.-</w:t>
      </w:r>
    </w:p>
    <w:p>
      <w:pPr>
        <w:pStyle w:val="[Normal]"/>
        <w:spacing w:line="360" w:lineRule="auto"/>
        <w:ind w:firstLine="1134"/>
        <w:jc w:val="both"/>
        <w:rPr>
          <w:lang w:val="es-AR" w:eastAsia="es-AR" w:bidi="es-AR"/>
        </w:rPr>
      </w:pPr>
      <w:r>
        <w:rPr>
          <w:lang w:val="es-AR" w:eastAsia="es-AR" w:bidi="es-AR"/>
        </w:rPr>
        <w:t xml:space="preserve"> Sostiene que el magistrado efectuó una errónea valoración de los hechos, de la prueba producida y de las normas aplicables, arribando a conclusiones arbitrarias al calificar la maniobra de giro realizada por el Sr. Salemi como “caprichosa”, “imprudente”, “intempestiva” y “negligente”, sin respaldo probatorio suficiente. </w:t>
      </w:r>
    </w:p>
    <w:p>
      <w:pPr>
        <w:pStyle w:val="[Normal]"/>
        <w:spacing w:line="360" w:lineRule="auto"/>
        <w:ind w:firstLine="1134"/>
        <w:jc w:val="both"/>
        <w:rPr>
          <w:lang w:val="es-AR" w:eastAsia="es-AR" w:bidi="es-AR"/>
        </w:rPr>
      </w:pPr>
      <w:r>
        <w:rPr>
          <w:lang w:val="es-AR" w:eastAsia="es-AR" w:bidi="es-AR"/>
        </w:rPr>
        <w:t xml:space="preserve">Afirma que el decisorio omitió ponderar adecuadamente la conducta de la demandada, quien inició una maniobra de sobrepaso en un sector expresamente prohibido por doble línea amarilla y en zona de encrucijada, infringiendo las disposiciones de la Ley Nacional de Tránsito.</w:t>
      </w:r>
    </w:p>
    <w:p>
      <w:pPr>
        <w:pStyle w:val="[Normal]"/>
        <w:spacing w:line="360" w:lineRule="auto"/>
        <w:ind w:firstLine="1134"/>
        <w:jc w:val="both"/>
        <w:rPr>
          <w:lang w:val="es-AR" w:eastAsia="es-AR" w:bidi="es-AR"/>
        </w:rPr>
      </w:pPr>
      <w:r>
        <w:rPr>
          <w:lang w:val="es-AR" w:eastAsia="es-AR" w:bidi="es-AR"/>
        </w:rPr>
        <w:t xml:space="preserve">Sostiene que la sentencia prescindió de valorar una infracción reglamentaria que considera determinante en la producción del siniestro, cual es el adelantamiento indebido efectuado por la demandada en un tramo de la Ruta 8 donde existía prohibición de sobrepaso. </w:t>
      </w:r>
    </w:p>
    <w:p>
      <w:pPr>
        <w:pStyle w:val="[Normal]"/>
        <w:spacing w:line="360" w:lineRule="auto"/>
        <w:ind w:firstLine="1134"/>
        <w:jc w:val="both"/>
        <w:rPr>
          <w:lang w:val="es-AR" w:eastAsia="es-AR" w:bidi="es-AR"/>
        </w:rPr>
      </w:pPr>
      <w:r>
        <w:rPr>
          <w:lang w:val="es-AR" w:eastAsia="es-AR" w:bidi="es-AR"/>
        </w:rPr>
        <w:t xml:space="preserve">Señala que, aun cuando el actor hubiera disminuido la velocidad para girar hacia la izquierda e ingresar a calle Los Arrayanes, la demandada reconoció haber advertido dicha maniobra y, pese a ello, decidió iniciar el sobrepaso, sin guardar la distancia de seguridad ni conservar el dominio efectivo de su vehículo. Destaca asimismo el carácter de “embistente” del rodado conducido por la demandada, cuyos daños se localizaron en el sector frontal, circunstancia que genera una presunción de responsabilidad que no fue desvirtuada.</w:t>
      </w:r>
    </w:p>
    <w:p>
      <w:pPr>
        <w:pStyle w:val="[Normal]"/>
        <w:spacing w:line="360" w:lineRule="auto"/>
        <w:ind w:firstLine="1134"/>
        <w:jc w:val="both"/>
        <w:rPr>
          <w:lang w:val="es-AR" w:eastAsia="es-AR" w:bidi="es-AR"/>
        </w:rPr>
      </w:pPr>
      <w:r>
        <w:rPr>
          <w:lang w:val="es-AR" w:eastAsia="es-AR" w:bidi="es-AR"/>
        </w:rPr>
        <w:t xml:space="preserve">Aduce también que el juez de grado aplicó incorrectamente las reglas de la responsabilidad objetiva previstas en el Código Civil y Comercial, al considerar configurada una interrupción total del nexo causal por culpa de la víctima sin que existiera prueba suficiente que así lo acreditara. </w:t>
      </w:r>
    </w:p>
    <w:p>
      <w:pPr>
        <w:pStyle w:val="[Normal]"/>
        <w:spacing w:line="360" w:lineRule="auto"/>
        <w:ind w:firstLine="1134"/>
        <w:jc w:val="both"/>
        <w:rPr>
          <w:lang w:val="es-AR" w:eastAsia="es-AR" w:bidi="es-AR"/>
        </w:rPr>
      </w:pPr>
      <w:r>
        <w:rPr>
          <w:lang w:val="es-AR" w:eastAsia="es-AR" w:bidi="es-AR"/>
        </w:rPr>
        <w:t xml:space="preserve">Refiere que, acreditada la intervención de la cosa riesgosa y el daño, correspondía a la demandada demostrar de manera fehaciente la existencia de una conducta exclusiva de la víctima apta para romper totalmente el nexo causal, extremo que no aconteció en autos.</w:t>
      </w:r>
    </w:p>
    <w:p>
      <w:pPr>
        <w:pStyle w:val="[Normal]"/>
        <w:spacing w:line="360" w:lineRule="auto"/>
        <w:ind w:firstLine="1134"/>
        <w:jc w:val="both"/>
        <w:rPr>
          <w:lang w:val="es-AR" w:eastAsia="es-AR" w:bidi="es-AR"/>
        </w:rPr>
      </w:pPr>
      <w:r>
        <w:rPr>
          <w:lang w:val="es-AR" w:eastAsia="es-AR" w:bidi="es-AR"/>
        </w:rPr>
        <w:t xml:space="preserve">Cuestiona el razonamiento del a quo en cuanto sostuvo que el actor debió desplazarse hacia la banquina antes de efectuar el giro. Afirma que dicha exigencia carece de sustento legal, toda vez que la Ley 24.449 prohíbe circular o detenerse sobre la banquina salvo supuestos de emergencia, y destaca que en el lugar del hecho no existía señalización alguna que habilitara su utilización como dársena de giro. Añade que el magistrado creó una obligación de tránsito inexistente, imponiendo al conductor una maniobra no prevista normativamente y omitiendo considerar que el actor habría señalizado previamente su intención de girar.</w:t>
      </w:r>
    </w:p>
    <w:p>
      <w:pPr>
        <w:pStyle w:val="[Normal]"/>
        <w:spacing w:line="360" w:lineRule="auto"/>
        <w:ind w:firstLine="1134"/>
        <w:jc w:val="both"/>
        <w:rPr>
          <w:lang w:val="es-AR" w:eastAsia="es-AR" w:bidi="es-AR"/>
        </w:rPr>
      </w:pPr>
      <w:r>
        <w:rPr>
          <w:lang w:val="es-AR" w:eastAsia="es-AR" w:bidi="es-AR"/>
        </w:rPr>
        <w:t xml:space="preserve">Finalmente, se agravia de la calificación de la maniobra de giro como “caprichosa” o “intempestiva”, señalando que no existe en la causa elemento probatorio alguno que permita arribar a tal conclusión.</w:t>
      </w:r>
    </w:p>
    <w:p>
      <w:pPr>
        <w:pStyle w:val="[Normal]"/>
        <w:spacing w:line="360" w:lineRule="auto"/>
        <w:ind w:firstLine="1134"/>
        <w:jc w:val="both"/>
        <w:rPr>
          <w:lang w:val="es-AR" w:eastAsia="es-AR" w:bidi="es-AR"/>
        </w:rPr>
      </w:pPr>
      <w:r>
        <w:rPr>
          <w:lang w:val="es-AR" w:eastAsia="es-AR" w:bidi="es-AR"/>
        </w:rPr>
        <w:t xml:space="preserve"> Añade que el giro hacia la izquierda constituía, en las circunstancias del caso, la única maniobra posible para acceder a calle Los Arrayanes, por lo que entiende que la sentencia incurrió en arbitrariedad al descalificar dicha conducta sin sustento técnico ni probatorio suficiente.</w:t>
      </w:r>
    </w:p>
    <w:p>
      <w:pPr>
        <w:pStyle w:val="[Normal]"/>
        <w:spacing w:line="360" w:lineRule="auto"/>
        <w:ind w:firstLine="1134"/>
        <w:jc w:val="both"/>
        <w:rPr>
          <w:lang w:val="es-AR" w:eastAsia="es-AR" w:bidi="es-AR"/>
        </w:rPr>
      </w:pPr>
      <w:r>
        <w:rPr>
          <w:lang w:val="es-AR" w:eastAsia="es-AR" w:bidi="es-AR"/>
        </w:rPr>
        <w:t xml:space="preserve">Solicita se revoque la sentencia apelada y se haga lugar a la demanda por ella entablada.-</w:t>
      </w:r>
    </w:p>
    <w:p>
      <w:pPr>
        <w:pStyle w:val="[Normal]"/>
        <w:spacing w:line="360" w:lineRule="auto"/>
        <w:ind w:firstLine="1134"/>
        <w:jc w:val="both"/>
        <w:rPr>
          <w:lang w:val="es-AR" w:eastAsia="es-AR" w:bidi="es-AR"/>
        </w:rPr>
      </w:pPr>
      <w:r>
        <w:rPr>
          <w:lang w:val="es-AR" w:eastAsia="es-AR" w:bidi="es-AR"/>
        </w:rPr>
        <w:t xml:space="preserve">A su turno, la parte demandada solicita se declare desierto el recurso de apelación interpuesto por la actora. Subsidiariamente, contesta los agravios formulados, rebate los argumentos expuestos por la recurrente y pide se confirme la sentencia apelada con costas.</w:t>
      </w:r>
    </w:p>
    <w:p>
      <w:pPr>
        <w:pStyle w:val="[Normal]"/>
        <w:spacing w:line="360" w:lineRule="auto"/>
        <w:ind w:firstLine="1134"/>
        <w:jc w:val="both"/>
        <w:rPr>
          <w:lang w:val="es-AR" w:eastAsia="es-AR" w:bidi="es-AR"/>
        </w:rPr>
      </w:pPr>
      <w:r>
        <w:rPr>
          <w:lang w:val="es-AR" w:eastAsia="es-AR" w:bidi="es-AR"/>
        </w:rPr>
        <w:t xml:space="preserve">Llegan las presentes actuaciones a conocimiento de esta Alzada con motivo del recurso de apelación deducido por la parte actora contra la sentencia de primera instancia que rechazó íntegramente la demanda, atribuyendo la exclusiva responsabilidad del siniestro al conductor del vehículo Renault. La parte apelante cuestiona, en síntesis, que el a quo haya prescindido de la infracción reglamentaria cometida por la demandada —quien inició una maniobra de sobrepaso en lugar prohibido—, desatendido su condición de vehículo embistente e invertido indebidamente la carga probatoria, construyendo además una hipótesis de maniobra “caprichosa e intempestiva” sin sustento suficiente en la prueba producida. La demandada, al contestar, solicitó la deserción del recurso por considerar que el memorial no cumplía con la carga de crítica concreta y razonada.</w:t>
      </w:r>
    </w:p>
    <w:p>
      <w:pPr>
        <w:pStyle w:val="[Normal]"/>
        <w:spacing w:line="360" w:lineRule="auto"/>
        <w:ind w:firstLine="1134"/>
        <w:jc w:val="both"/>
        <w:rPr>
          <w:lang w:val="es-AR" w:eastAsia="es-AR" w:bidi="es-AR"/>
        </w:rPr>
      </w:pPr>
      <w:r>
        <w:rPr>
          <w:lang w:val="es-AR" w:eastAsia="es-AR" w:bidi="es-AR"/>
        </w:rPr>
        <w:t xml:space="preserve">En forma previa, considero que el pedido de deserción del recurso no puede prosperar. El escrito presentado al efecto identifica con precisión los pasajes del pronunciamiento que cuestiona y expone, con argumentación suficiente, porqué entiende errónea la valoración de la mecánica del hecho, la eximente aplicada y la distribución de la carga probatoria. Ello basta para satisfacer el estándar de los arts. 260 y 261 del ritual.</w:t>
      </w:r>
    </w:p>
    <w:p>
      <w:pPr>
        <w:pStyle w:val="[Normal]"/>
        <w:spacing w:line="360" w:lineRule="auto"/>
        <w:ind w:firstLine="1134"/>
        <w:jc w:val="both"/>
        <w:rPr>
          <w:lang w:val="es-AR" w:eastAsia="es-AR" w:bidi="es-AR"/>
        </w:rPr>
      </w:pPr>
      <w:r>
        <w:rPr>
          <w:lang w:val="es-AR" w:eastAsia="es-AR" w:bidi="es-AR"/>
        </w:rPr>
        <w:t xml:space="preserve">Ya, ingresando al fondo de la cuestión, no encuentro controvertido que el día 28/08/2023, sobre Ruta Nacional N° 8, a la altura de la intersección con calle Los Arrayanes de la ciudad de Pergamino, se produjo un siniestro vial entre el vehículo Renault conducido por el actor y el vehículo Nissan al mando de la demandada. Tampoco se discute que la pericia mecánica no pudo reconstruir con precisión técnica la mecánica completa del hecho, aunque sí constató daños frontales y posteriores en el rodado del actor. Asimismo, la prueba confesional permitió tener por acreditado que la demandada vio un vehículo delante suyo, que más adelante circulaba el Renault, que inició una maniobra de sobrepaso del automóvil que la precedía, y que a la altura de calle Los Arrayanes advirtió que el Renault disminuía la velocidad con intención de girar a la izquierda.</w:t>
      </w:r>
    </w:p>
    <w:p>
      <w:pPr>
        <w:pStyle w:val="[Normal]"/>
        <w:spacing w:line="360" w:lineRule="auto"/>
        <w:ind w:firstLine="1134"/>
        <w:jc w:val="both"/>
        <w:rPr>
          <w:lang w:val="es-AR" w:eastAsia="es-AR" w:bidi="es-AR"/>
        </w:rPr>
      </w:pPr>
      <w:r>
        <w:rPr>
          <w:lang w:val="es-AR" w:eastAsia="es-AR" w:bidi="es-AR"/>
        </w:rPr>
        <w:t xml:space="preserve">Ese cuadro probatorio resulta decisivo. En efecto, la sentencia de grado tuvo por probado sobre la base de esa misma confesional, que la demandada inició una maniobra de sobrepaso del primer automóvil que circulaba delante suyo, y que observó que el vehículo del actor aminoraba la marcha para girar a la izquierda. No obstante ello, concluyó que el actor realizó una maniobra “riesgosa”, “caprichosa”, “intempestiva” e “imprudente”, y que ello interrumpió totalmente el nexo causal.</w:t>
      </w:r>
    </w:p>
    <w:p>
      <w:pPr>
        <w:pStyle w:val="[Normal]"/>
        <w:spacing w:line="360" w:lineRule="auto"/>
        <w:ind w:firstLine="1134"/>
        <w:jc w:val="both"/>
        <w:rPr>
          <w:lang w:val="es-AR" w:eastAsia="es-AR" w:bidi="es-AR"/>
        </w:rPr>
      </w:pPr>
      <w:r>
        <w:rPr>
          <w:lang w:val="es-AR" w:eastAsia="es-AR" w:bidi="es-AR"/>
        </w:rPr>
        <w:t xml:space="preserve">A mi juicio, esa conclusión no se sostiene, en tanto la responsabilidad debe juzgarse, como correctamente invocó la parte actora, bajo el régimen objetivo derivado del riesgo o vicio de la cosa, conforme los arts. 1757, 1758 y 1769 del Código Civil y Comercial. En ese marco, acreditado el daño y la intervención causal de un automotor, la carga de demostrar una eximente total o parcial recae sobre quien la invoca. No basta una mera conjetura acerca de una conducta supuestamente imprudente de la víctima; es necesaria prueba suficiente, seria y concluyente de la causa ajena apta para romper total o parcialmente el nexo causal. Ese es, precisamente, el eje de los agravios formulados por la actora.</w:t>
      </w:r>
    </w:p>
    <w:p>
      <w:pPr>
        <w:pStyle w:val="[Normal]"/>
        <w:spacing w:line="360" w:lineRule="auto"/>
        <w:ind w:firstLine="1134"/>
        <w:jc w:val="both"/>
        <w:rPr>
          <w:lang w:val="es-AR" w:eastAsia="es-AR" w:bidi="es-AR"/>
        </w:rPr>
      </w:pPr>
      <w:r>
        <w:rPr>
          <w:lang w:val="es-AR" w:eastAsia="es-AR" w:bidi="es-AR"/>
        </w:rPr>
        <w:t xml:space="preserve">En el caso, la demandada no logró acreditar la culpa exclusiva de la víctima con la intensidad requerida para neutralizar por completo su responsabilidad. Antes bien, quedó reconocido que realizó una maniobra de sobrepaso, en proximidades de una intersección, cuando ya advertía que el vehículo del actor había disminuido la velocidad y se disponía a girar. Esa conducta, valorada junto con la mecánica de los daños y la calidad de embestidora que surge del frente dañado de su rodado, revela una infracción vial relevante que no puede ser soslayada.</w:t>
      </w:r>
    </w:p>
    <w:p>
      <w:pPr>
        <w:pStyle w:val="[Normal]"/>
        <w:spacing w:line="360" w:lineRule="auto"/>
        <w:ind w:firstLine="1134"/>
        <w:jc w:val="both"/>
        <w:rPr>
          <w:lang w:val="es-AR" w:eastAsia="es-AR" w:bidi="es-AR"/>
        </w:rPr>
      </w:pPr>
      <w:r>
        <w:rPr>
          <w:lang w:val="es-AR" w:eastAsia="es-AR" w:bidi="es-AR"/>
        </w:rPr>
        <w:t xml:space="preserve">La sentencia apelada, al focalizar exclusivamente en la supuesta imprudencia del actor, omitió ponderar que la demandada, al iniciar un adelantamiento en una zona donde ello estaba prohibido o, cuanto menos, severamente desaconsejado por las reglas de prudencia vial, generó un riesgo jurídicamente desaprobado que aparece como causa eficiente del evento. El memorial recursivo acierta al señalar que no se acreditó una maniobra sorpresiva e inevitable del actor, ni la prueba pericial permitió afirmar tal cosa; en cambio, sí se encuentra probado que la demandada advertía la existencia del vehículo precedente y su desaceleración, pese a lo cual decidió sobrepasarlo.</w:t>
      </w:r>
    </w:p>
    <w:p>
      <w:pPr>
        <w:pStyle w:val="[Normal]"/>
        <w:spacing w:line="360" w:lineRule="auto"/>
        <w:ind w:firstLine="1134"/>
        <w:jc w:val="both"/>
        <w:rPr>
          <w:lang w:val="es-AR" w:eastAsia="es-AR" w:bidi="es-AR"/>
        </w:rPr>
      </w:pPr>
      <w:r>
        <w:rPr>
          <w:lang w:val="es-AR" w:eastAsia="es-AR" w:bidi="es-AR"/>
        </w:rPr>
        <w:t xml:space="preserve">En ese contexto, no comparto la afirmación de que la conducta del actor hubiera producido la interrupción total del nexo causal. Aun cuando pudiera reprochársele no haber extremado los recaudos al girar a la izquierda, esa eventual imprudencia no aparece, en el estado de estas actuaciones, como causa exclusiva y excluyente del daño. La presencia de una maniobra de adelantamiento indebida por parte de la demandada, sumada a su condición de embistente, impide sostener válidamente una exoneración total.</w:t>
      </w:r>
    </w:p>
    <w:p>
      <w:pPr>
        <w:pStyle w:val="[Normal]"/>
        <w:spacing w:line="360" w:lineRule="auto"/>
        <w:ind w:firstLine="1134"/>
        <w:jc w:val="both"/>
        <w:rPr>
          <w:lang w:val="es-AR" w:eastAsia="es-AR" w:bidi="es-AR"/>
        </w:rPr>
      </w:pPr>
      <w:r>
        <w:rPr>
          <w:lang w:val="es-AR" w:eastAsia="es-AR" w:bidi="es-AR"/>
        </w:rPr>
        <w:t xml:space="preserve">Por lo demás, la argumentación del fallo de grado según la cual el actor debió “tirarse a la banquina” para efectuar luego el giro no encuentra apoyo normativo suficiente, ni puede erigirse en presupuesto de responsabilidad de la víctima cuando no surge de la causa que esa fuera la única alternativa razonable o legalmente exigible en el lugar del hecho. La crítica desarrollada en el recurso sobre este punto también resulta atendible.</w:t>
      </w:r>
    </w:p>
    <w:p>
      <w:pPr>
        <w:pStyle w:val="[Normal]"/>
        <w:spacing w:line="360" w:lineRule="auto"/>
        <w:ind w:firstLine="1134"/>
        <w:jc w:val="both"/>
        <w:rPr>
          <w:lang w:val="es-AR" w:eastAsia="es-AR" w:bidi="es-AR"/>
        </w:rPr>
      </w:pPr>
      <w:r>
        <w:rPr>
          <w:lang w:val="es-AR" w:eastAsia="es-AR" w:bidi="es-AR"/>
        </w:rPr>
        <w:t xml:space="preserve">La ley dispone que, para realizar un giro, el conductor debe: advertir la maniobra con suficiente antelación mediante la luz de giro, circular desde treinta metros antes por el costado más próximo al giro a efectuar y reducir la velocidad paulatinamente. En otras palabras: si se va a doblar a la izquierda, debe anticiparlo, ubicarse hacia la izquierda de su mano de circulación y efectuar el giro en forma prudente; no existe, para un automóvil común, una regla general que lo obligue a correrse antes a la banquina, es más tal maniobra esta prohibida expresamente (Art. 48 inc. i de la  Ley de Tránsito  Nacional Nro. 24.449, por adhesión art. 1 Ley 13.927, "Nuevo Código de Tránsito de la Pcia. de Buenos Aires).</w:t>
      </w:r>
    </w:p>
    <w:p>
      <w:pPr>
        <w:pStyle w:val="[Normal]"/>
        <w:spacing w:line="360" w:lineRule="auto"/>
        <w:ind w:firstLine="1134"/>
        <w:jc w:val="both"/>
        <w:rPr>
          <w:lang w:val="es-AR" w:eastAsia="es-AR" w:bidi="es-AR"/>
        </w:rPr>
      </w:pPr>
      <w:r>
        <w:rPr>
          <w:lang w:val="es-AR" w:eastAsia="es-AR" w:bidi="es-AR"/>
        </w:rPr>
        <w:t xml:space="preserve">Además, la propia ley prevé que, para indicar a los vehículos que vienen detrás la inconveniencia de adelantarse, se utiliza la "luz de giro izquierda", ante lo cual los posteriores deben abstenerse del sobrepaso. Inclusive, el adelantamiento por la derecha sólo se admite excepcionalmente, entre otros casos, cuando el vehículo de adelante ya indicó su intención de girar o detenerse a la izquierda. ( Art. 42 inc. h) Ley de Tránsito  Nacional Nro. 24.449, por adhesión art. 1 Ley 13.927, "Nuevo Código de Tránsito de la Pcia. de Buenos Aires).</w:t>
      </w:r>
    </w:p>
    <w:p>
      <w:pPr>
        <w:pStyle w:val="[Normal]"/>
        <w:spacing w:line="360" w:lineRule="auto"/>
        <w:ind w:firstLine="1134"/>
        <w:jc w:val="both"/>
        <w:rPr>
          <w:lang w:val="es-AR" w:eastAsia="es-AR" w:bidi="es-AR"/>
        </w:rPr>
      </w:pPr>
      <w:r>
        <w:rPr>
          <w:lang w:val="es-AR" w:eastAsia="es-AR" w:bidi="es-AR"/>
        </w:rPr>
        <w:t xml:space="preserve">La referencia a correrse a la banquina aparece para "camiones y maquinaria especial en caminos angostos", a fin de facilitar el adelantamiento periódicamente; no como deber general de cualquier conductor que va a doblar a la izquierda en ruta. (art. 42 citado, inc. g).</w:t>
      </w:r>
    </w:p>
    <w:p>
      <w:pPr>
        <w:pStyle w:val="[Normal]"/>
        <w:spacing w:line="360" w:lineRule="auto"/>
        <w:ind w:firstLine="1134"/>
        <w:jc w:val="both"/>
        <w:rPr>
          <w:lang w:val="es-AR" w:eastAsia="es-AR" w:bidi="es-AR"/>
        </w:rPr>
      </w:pPr>
      <w:r>
        <w:rPr>
          <w:lang w:val="es-AR" w:eastAsia="es-AR" w:bidi="es-AR"/>
        </w:rPr>
        <w:t xml:space="preserve">Sin embargo, tampoco puede soslayarse que la maniobra de giro a la izquierda en una ruta de circulación rápida impone a quien la ejecuta un especial deber de prudencia, debiendo extremar los recaudos para no interferir en la circulación de los vehículos que transitan en  sentido contrario, ni tampoco a los que vienen detrás.</w:t>
      </w:r>
    </w:p>
    <w:p>
      <w:pPr>
        <w:pStyle w:val="[Normal]"/>
        <w:spacing w:line="360" w:lineRule="auto"/>
        <w:ind w:firstLine="1134"/>
        <w:jc w:val="both"/>
        <w:rPr>
          <w:lang w:val="es-AR" w:eastAsia="es-AR" w:bidi="es-AR"/>
        </w:rPr>
      </w:pPr>
      <w:r>
        <w:rPr>
          <w:lang w:val="es-AR" w:eastAsia="es-AR" w:bidi="es-AR"/>
        </w:rPr>
        <w:t xml:space="preserve">Asimismo, debo señalar que aun cuando no se encuentre acreditado que la maniobra del actor haya sido “caprichosa” o “intempestiva” en los términos categóricos utilizados por el a quo, sí cabe concluir que su conducta contribuyó, en alguna medida, a la producción del evento dañoso, en tanto implicó una reducción de velocidad y cruce de calzada en un ámbito que exige particular diligencia, como lo destaco el a quo. </w:t>
      </w:r>
    </w:p>
    <w:p>
      <w:pPr>
        <w:pStyle w:val="[Normal]"/>
        <w:spacing w:line="360" w:lineRule="auto"/>
        <w:ind w:firstLine="1134"/>
        <w:jc w:val="both"/>
        <w:rPr>
          <w:lang w:val="es-AR" w:eastAsia="es-AR" w:bidi="es-AR"/>
        </w:rPr>
      </w:pPr>
      <w:r>
        <w:rPr>
          <w:lang w:val="es-AR" w:eastAsia="es-AR" w:bidi="es-AR"/>
        </w:rPr>
        <w:t xml:space="preserve">En tales condiciones, corresponde apartarse tanto de la solución de grado —que atribuyó responsabilidad exclusiva al actor— como de la pretensión recursiva de imputación total a la demandada, para concluir que el siniestro reconoce causas concurrentes.</w:t>
      </w:r>
    </w:p>
    <w:p>
      <w:pPr>
        <w:pStyle w:val="[Normal]"/>
        <w:spacing w:line="360" w:lineRule="auto"/>
        <w:ind w:firstLine="1134"/>
        <w:jc w:val="both"/>
        <w:rPr>
          <w:lang w:val="es-AR" w:eastAsia="es-AR" w:bidi="es-AR"/>
        </w:rPr>
      </w:pPr>
      <w:r>
        <w:rPr>
          <w:lang w:val="es-AR" w:eastAsia="es-AR" w:bidi="es-AR"/>
        </w:rPr>
        <w:t xml:space="preserve">La conducta de la demandada aparece como  incidencia causal, en tanto emprendió una maniobra de sobrepaso en condiciones objetivamente riesgosas y sin adoptar las precauciones necesarias frente a una situación de tránsito que exigía prudencia. Por su parte, la conducta del actor, si bien no exclusiva ni excluyente, contribuyó al resultado al ejecutar una maniobra de giro en una ruta sin acreditar haber extremado todos los recaudos posibles.</w:t>
      </w:r>
    </w:p>
    <w:p>
      <w:pPr>
        <w:pStyle w:val="[Normal]"/>
        <w:spacing w:line="360" w:lineRule="auto"/>
        <w:ind w:firstLine="1134"/>
        <w:jc w:val="both"/>
        <w:rPr>
          <w:lang w:val="es-AR" w:eastAsia="es-AR" w:bidi="es-AR"/>
        </w:rPr>
      </w:pPr>
      <w:r>
        <w:rPr>
          <w:lang w:val="es-AR" w:eastAsia="es-AR" w:bidi="es-AR"/>
        </w:rPr>
        <w:t xml:space="preserve">En función de ello, estimo justo y razonable fijar la responsabilidad en un 50% a cargo de la demandada y un 50% a cargo del actor.-</w:t>
      </w:r>
    </w:p>
    <w:p>
      <w:pPr>
        <w:pStyle w:val="[Normal]"/>
        <w:spacing w:line="360" w:lineRule="auto"/>
        <w:ind w:firstLine="1134"/>
        <w:jc w:val="both"/>
        <w:rPr>
          <w:lang w:val="es-AR" w:eastAsia="es-AR" w:bidi="es-AR"/>
        </w:rPr>
      </w:pPr>
      <w:r>
        <w:rPr>
          <w:lang w:val="es-AR" w:eastAsia="es-AR" w:bidi="es-AR"/>
        </w:rPr>
        <w:t xml:space="preserve">Determinada así las responsabilidades y la proporción en la que deben responder, cabe adentrarse en la cuantificación de los rubros solicitados por la actora en su demanda de fecha 24-5-2024. Eso es, incapacidad sobreviniente, daño moral, gastos de mediación y</w:t>
      </w:r>
      <w:r>
        <w:rPr>
          <w:b/>
          <w:lang w:val="es-AR" w:eastAsia="es-AR" w:bidi="es-AR"/>
        </w:rPr>
        <w:t xml:space="preserve"> </w:t>
      </w:r>
      <w:r>
        <w:rPr>
          <w:lang w:val="es-AR" w:eastAsia="es-AR" w:bidi="es-AR"/>
        </w:rPr>
        <w:t xml:space="preserve">médicos, farmacéuticos y de traslados, daño emergente, privación de uso y desvalorización.-</w:t>
      </w:r>
    </w:p>
    <w:p>
      <w:pPr>
        <w:pStyle w:val="[Normal]"/>
        <w:spacing w:line="360" w:lineRule="auto"/>
        <w:ind w:firstLine="1134"/>
        <w:jc w:val="both"/>
        <w:rPr>
          <w:i/>
          <w:lang w:val="es-AR" w:eastAsia="es-AR" w:bidi="es-AR"/>
        </w:rPr>
      </w:pPr>
      <w:r>
        <w:rPr>
          <w:lang w:val="es-AR" w:eastAsia="es-AR" w:bidi="es-AR"/>
        </w:rPr>
        <w:t xml:space="preserve">Respecto del primero de ellos, la incapacidad sobreviniente esta Alzada ya ha tenido oportunidad de pronunciarse (causa N° </w:t>
      </w:r>
      <w:r>
        <w:rPr>
          <w:color w:val="000000"/>
          <w:lang w:val="es-AR" w:eastAsia="es-AR" w:bidi="es-AR"/>
        </w:rPr>
        <w:t xml:space="preserve">5670-25</w:t>
      </w:r>
      <w:r>
        <w:rPr>
          <w:lang w:val="es-AR" w:eastAsia="es-AR" w:bidi="es-AR"/>
        </w:rPr>
        <w:t xml:space="preserve">  caratulada "Pomar Carmen Elena C/ Daabul Jorge Gustavo</w:t>
      </w:r>
      <w:r>
        <w:rPr>
          <w:color w:val="000000"/>
          <w:lang w:val="es-AR" w:eastAsia="es-AR" w:bidi="es-AR"/>
        </w:rPr>
        <w:t xml:space="preserve"> y otro/a S/ Daños y Perj. Autom. C/ Les. o Muerte (Exc.Estado) SD del 11-11-2025 </w:t>
      </w:r>
      <w:r>
        <w:rPr>
          <w:lang w:val="es-AR" w:eastAsia="es-AR" w:bidi="es-AR"/>
        </w:rPr>
        <w:t xml:space="preserve">RS-155-2025)</w:t>
      </w:r>
      <w:r>
        <w:rPr>
          <w:color w:val="000000"/>
          <w:lang w:val="es-AR" w:eastAsia="es-AR" w:bidi="es-AR"/>
        </w:rPr>
        <w:t xml:space="preserve"> </w:t>
      </w:r>
      <w:r>
        <w:rPr>
          <w:lang w:val="es-AR" w:eastAsia="es-AR" w:bidi="es-AR"/>
        </w:rPr>
        <w:t xml:space="preserve">en supuestos en los que la persona damnificada reviste la condición de jubilada. En tal precedente se ha sostenido que: "</w:t>
      </w:r>
      <w:r>
        <w:rPr>
          <w:i/>
          <w:lang w:val="es-AR" w:eastAsia="es-AR" w:bidi="es-AR"/>
        </w:rPr>
        <w:t xml:space="preserve">la determinación de la incapacidad no debe hacerse sobre la base exclusiva de la disminución laboral de la victima. Ésta constituye un dato relevante a tener en cuenta, pero en modo alguno el único y, en ciertos casos, ni siquiera el más importante. Es preciso ponderar múltiples aspectos vitales que hacen a la persona humana integralmente considerada, con su multiforme actividad, no sólo en abstracto sino atendiendo a las condiciones personales de la víctima (por ejemplo.: edad, sexo, estado civil, profesión, salud y condición social). (Pizarro-Vallespinos; "Tratado de responsabilidad civil", Tomo l, Parte General, Rubinzal Culzoni, año 2017 pág 737).-  </w:t>
      </w:r>
    </w:p>
    <w:p>
      <w:pPr>
        <w:pStyle w:val="[Normal]"/>
        <w:spacing w:line="360" w:lineRule="auto"/>
        <w:ind w:firstLine="1134"/>
        <w:jc w:val="both"/>
        <w:rPr>
          <w:i/>
          <w:lang w:val="es-AR" w:eastAsia="es-AR" w:bidi="es-AR"/>
        </w:rPr>
      </w:pPr>
      <w:r>
        <w:rPr>
          <w:i/>
          <w:lang w:val="es-AR" w:eastAsia="es-AR" w:bidi="es-AR"/>
        </w:rPr>
        <w:t xml:space="preserve">Se incluye aquí, entre otros aspectos que deben tomarse en cuenta para valorar el daño patrimonial, las actividades intelectuales, artísticas o deportivas; las relativas a la vida en relación; o todas aquellas que normalmente le proporcionaban placer, bienestar o gozo no reprobados por el ordenamiento jurídico. (Pizarro-Vallespinos, ob. cit., Tomo l, pág 735).-</w:t>
      </w:r>
    </w:p>
    <w:p>
      <w:pPr>
        <w:pStyle w:val="[Normal]"/>
        <w:spacing w:line="360" w:lineRule="auto"/>
        <w:ind w:firstLine="1134"/>
        <w:jc w:val="both"/>
        <w:rPr>
          <w:i/>
          <w:lang w:val="es-AR" w:eastAsia="es-AR" w:bidi="es-AR"/>
        </w:rPr>
      </w:pPr>
      <w:r>
        <w:rPr>
          <w:i/>
          <w:lang w:val="es-AR" w:eastAsia="es-AR" w:bidi="es-AR"/>
        </w:rPr>
        <w:t xml:space="preserve">Insisto entonces, el daño indemnizable derivado de una situación incapacitante no sólo debe comprender el menoscabo de las aptitudes laborativas o frustración de los ingresos de la víctima, sino también la integral afectación de su personalidad en su vida personal y de relación. 	</w:t>
        <w:br w:type="textWrapping"/>
      </w:r>
      <w:r>
        <w:rPr>
          <w:i/>
          <w:lang w:val="es-AR" w:eastAsia="es-AR" w:bidi="es-AR"/>
        </w:rPr>
        <w:t xml:space="preserve"> 	En tal sentido, se ha destacado "la necesidad de ampliar la extensión del concepto de daño patrimonial y extrapatrimonial derivados de lesiones a la integridad psicofísica. En este aspecto, estimamos que el daño indemnizable derivado de una situación incapacitante no sólo debe comprender el menoscabo de las aptitudes laborativas o frustración de los ingresos de la víctima, sino también la integral afectación de su personalidad en su vida personal y de relación. (...).	</w:t>
        <w:br w:type="textWrapping"/>
      </w:r>
      <w:r>
        <w:rPr>
          <w:i/>
          <w:lang w:val="es-AR" w:eastAsia="es-AR" w:bidi="es-AR"/>
        </w:rPr>
        <w:t xml:space="preserve"> 	Esta afectación de aptitudes personales no laborativas puede repercutir sobre intereses extrapatrimoniales y configurar daño moral derivado de la incapacidad, a cuyo efecto deberán encuadrarse como tal, ampliándose coherentemente la indemnización que se fija por dicho concepto sin dejarlo absorbido dentro de un supuesto rubro de incapacidad per se. (...).	</w:t>
        <w:br w:type="textWrapping"/>
      </w:r>
      <w:r>
        <w:rPr>
          <w:i/>
          <w:lang w:val="es-AR" w:eastAsia="es-AR" w:bidi="es-AR"/>
        </w:rPr>
        <w:t xml:space="preserve"> 	Y también es posible que la limitación de estas facultades personales no estrictamente productivas, pero de utilidad en el sentido de satisfacer necesidades o proporcionar bienestar material, generen daño patrimonial por incapacidad. De donde se sigue que este último concepto posee dos grandes vertientes: la que indemniza consecuencias patrimoniales derivadas de la limitación de actividades remuneradas –la más tradicional, conocida y comúnmente aceptada- y la que indemniza consecuencias patrimoniales derivadas de limitación de actividades de utilidad no remuneradas –las que normalmente se desestiman o se circunscriben únicamente a las consecuencias no patrimoniales del daño-. (...).-	</w:t>
      </w:r>
    </w:p>
    <w:p>
      <w:pPr>
        <w:pStyle w:val="[Normal]"/>
        <w:spacing w:line="360" w:lineRule="auto"/>
        <w:ind w:firstLine="1134"/>
        <w:jc w:val="both"/>
        <w:rPr>
          <w:i/>
          <w:lang w:val="es-AR" w:eastAsia="es-AR" w:bidi="es-AR"/>
        </w:rPr>
      </w:pPr>
      <w:r>
        <w:rPr>
          <w:i/>
          <w:lang w:val="es-AR" w:eastAsia="es-AR" w:bidi="es-AR"/>
        </w:rPr>
        <w:t xml:space="preserve">Con notable claridad conceptual, la Sala II de la Cámara Civil y Comercial de Mar del Plata ha sostenido que: “La incapacidad no sólo debe medirse en el aspecto del trabajo, sino también en cuanto atañe a las actividades de la víctima y la proyección que tiene el accidente sobre la personalidad integral. Cabe valorar la forma en que la lesión gravita sobre otros aspectos de esta personalidad: domésticos, deportivos, culturales, estéticos, sociales, etc., que en la medida en que afecten el desarrollo pleno de la vida de ésta, son susceptibles de ser tenidos en cuenta, al margen de lo que se otorgue en concepto de daño moral” (CCivCom de Mar del Plata,  Sala II, 16/12/97, RepJA, 2001-543, n° 435, en sentido similar CN Civ, Sala H, 13/2/06, DJ, 2007-1-20).	</w:t>
        <w:br w:type="textWrapping"/>
      </w:r>
      <w:r>
        <w:rPr>
          <w:i/>
          <w:lang w:val="es-AR" w:eastAsia="es-AR" w:bidi="es-AR"/>
        </w:rPr>
        <w:t xml:space="preserve"> 	La conclusión precedente deviene como corolario lógico de una interpretación sistémica del ordenamiento jurídico en el marco del diálogo de fuentes entendido como método interpretativo armonizador que, evitando la exclusión de unas normas por otras, posibilita la aplicación simultánea, coherente y coordinada de fuentes normativas convergentes (cf. art. 2 del CCyC). (...).	</w:t>
        <w:br w:type="textWrapping"/>
      </w:r>
      <w:r>
        <w:rPr>
          <w:i/>
          <w:lang w:val="es-AR" w:eastAsia="es-AR" w:bidi="es-AR"/>
        </w:rPr>
        <w:t xml:space="preserve"> 	Por un lado, el art. 1746 del CCyC discurre en esa línea al englobar ambos tipos de incapacidades: las relativas a “actividades productivas” y las relativas a “económicamente valorables”. (...).	</w:t>
        <w:br w:type="textWrapping"/>
      </w:r>
      <w:r>
        <w:rPr>
          <w:i/>
          <w:lang w:val="es-AR" w:eastAsia="es-AR" w:bidi="es-AR"/>
        </w:rPr>
        <w:t xml:space="preserve"> 	Y por otro, este replanteo de la cuestión deviene congruente con la dignidad de la persona como valor supremo a tutelar por el ordenamiento jurídico, erigiéndose como la médula del sistema del derecho de daños. Esa dignidad está en la actualidad asociada a múltiples aspectos de la existencia humana. Ello parte de un cambio revolucionario que marca un contraste entre el humanismo actual y la deshumanización del derecho anterior. Se trata del paso de una concepción patrimonialista del daño centrada en un hombre que vale por lo que tiene o produce, hacia una concepción personalista del perjuicio que pone el acento en lo que el hombre es. (...).	</w:t>
        <w:br w:type="textWrapping"/>
      </w:r>
      <w:r>
        <w:rPr>
          <w:i/>
          <w:lang w:val="es-AR" w:eastAsia="es-AR" w:bidi="es-AR"/>
        </w:rPr>
        <w:t xml:space="preserve"> 	Esta interpretación encuentra sólido sustento en la axiología del Código Civil y Comercial que entroniza a la persona humana como centro de protección del sistema. Y en varias disposiciones alude al concepto de dignidad personal (vgr., art. 1097 del CCyC), que debe ser interpretado conforme a los criterios generales emergentes de los tratados de derechos humanos (art. 1 y 2 del CCyC). (...)" (MOREA, Adrián O., Las lesiones temporales y el daño resarcible en el sistema indemnizatorio argentino, Temas de Derecho Civil, Persona y Patrimonio / Edición: 2020/Septiembre).</w:t>
      </w:r>
    </w:p>
    <w:p>
      <w:pPr>
        <w:pStyle w:val="[Normal]"/>
        <w:spacing w:line="360" w:lineRule="auto"/>
        <w:ind w:firstLine="1134"/>
        <w:jc w:val="both"/>
        <w:rPr>
          <w:i/>
          <w:lang w:val="es-AR" w:eastAsia="es-AR" w:bidi="es-AR"/>
        </w:rPr>
      </w:pPr>
      <w:r>
        <w:rPr>
          <w:i/>
          <w:lang w:val="es-AR" w:eastAsia="es-AR" w:bidi="es-AR"/>
        </w:rPr>
        <w:t xml:space="preserve">Ahora bien, en la especie, solo una de las dos facetas resulta indemnizable desde que la víctima no desarrollaba actividad laboral remunerada, puesto que es la propia actora quien reconoce que al tiempo del accidente se encontraba jubilada.- </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i/>
          <w:lang w:val="es-AR" w:eastAsia="es-AR" w:bidi="es-AR"/>
        </w:rPr>
      </w:pPr>
      <w:r>
        <w:rPr>
          <w:i/>
          <w:lang w:val="es-AR" w:eastAsia="es-AR" w:bidi="es-AR"/>
        </w:rPr>
        <w:t xml:space="preserve">La condición de jubilado del actor impiden considerar que se haya visto privado de ganancias por su incapacidad, debiéndose centrar el análisis en la incapacidad permanente futura que trajo para la víctima continuar con el desarrollo normal – en comparación con el estado anterior - de sus aptitudes personales no laborativas (autonomía personal, potencialidad psicomotriz, vida en relación, etc.). </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i/>
          <w:sz w:val="23"/>
          <w:lang w:val="es-AR" w:eastAsia="es-AR" w:bidi="es-AR"/>
        </w:rPr>
      </w:pPr>
      <w:r>
        <w:rPr>
          <w:i/>
          <w:lang w:val="es-AR" w:eastAsia="es-AR" w:bidi="es-AR"/>
        </w:rPr>
        <w:t xml:space="preserve">En este contexto, de nada sirve en autos la utilización de las fórmulas polinómicas, ya que éstas cuantifican las indemnizaciones por incapacidad o fallecimiento calculando el valor presente de una renta futura no perpetua. Esto es, determinan qué valor tiene al momento de cuantificarse una serie de sumas de dinero futuras. Pero aquí no habría técnicamente privación de renta futura, sino una limitación de aptitudes personales no laborativas valorables económicamente.</w:t>
      </w:r>
    </w:p>
    <w:p>
      <w:pPr>
        <w:pStyle w:val="[Normal]"/>
        <w:spacing w:line="360" w:lineRule="auto"/>
        <w:ind w:firstLine="1134"/>
        <w:jc w:val="both"/>
        <w:rPr>
          <w:i/>
          <w:lang w:val="es-AR" w:eastAsia="es-AR" w:bidi="es-AR"/>
        </w:rPr>
      </w:pPr>
      <w:r>
        <w:rPr>
          <w:i/>
          <w:lang w:val="es-AR" w:eastAsia="es-AR" w:bidi="es-AR"/>
        </w:rPr>
        <w:t xml:space="preserve">Como este Tribunal ha dicho en la causa "Berón", "Cabe recordar, en este sentido, que las fórmulas actuariales o baremos constituyen instrumentos que orientan a las partes y a los magistrados para esclarecer la existencia y entidad de la incapacidad laborativa genérica que una persona puede experimentar; pero sus resultados deben necesariamente ser conjugados con otros elementos que brinda la realidad del caso concreto, de persona, tiempo y lugar, para la determinación de la incapacidad específica de la víctima"  (CAP 3278-18).".-</w:t>
      </w:r>
    </w:p>
    <w:p>
      <w:pPr>
        <w:pStyle w:val="[Normal]"/>
        <w:spacing w:line="360" w:lineRule="auto"/>
        <w:ind w:firstLine="1134"/>
        <w:jc w:val="both"/>
        <w:rPr>
          <w:lang w:val="es-AR" w:eastAsia="es-AR" w:bidi="es-AR"/>
        </w:rPr>
      </w:pPr>
      <w:r>
        <w:rPr>
          <w:lang w:val="es-AR" w:eastAsia="es-AR" w:bidi="es-AR"/>
        </w:rPr>
        <w:t xml:space="preserve">Dicho ello, de la pericia médica producida en autos con fecha 1/12/2024 surge que el Sr. Selmi “presenta un cuadro de cervicalgia”, precisando el experto que dicho padecimiento consiste en “dolor agudo, crónico o intermitente que, en ocasiones, puede hacerse continuo y prolongarse en el tiempo”.-</w:t>
      </w:r>
    </w:p>
    <w:p>
      <w:pPr>
        <w:pStyle w:val="[Normal]"/>
        <w:spacing w:line="360" w:lineRule="auto"/>
        <w:ind w:firstLine="1134"/>
        <w:jc w:val="both"/>
        <w:rPr>
          <w:lang w:val="es-AR" w:eastAsia="es-AR" w:bidi="es-AR"/>
        </w:rPr>
      </w:pPr>
      <w:r>
        <w:rPr>
          <w:lang w:val="es-AR" w:eastAsia="es-AR" w:bidi="es-AR"/>
        </w:rPr>
        <w:t xml:space="preserve">Tal conclusión pericial encuentra adecuada corroboración en los informes del SAME acompañados con fecha 9/10/2024, de los cuales también se desprende que el actor presentó sintomatología compatible con dicha afección con motivo del hecho ventilado en autos.-</w:t>
      </w:r>
    </w:p>
    <w:p>
      <w:pPr>
        <w:pStyle w:val="[Normal]"/>
        <w:spacing w:line="360" w:lineRule="auto"/>
        <w:ind w:firstLine="1134"/>
        <w:jc w:val="both"/>
        <w:rPr>
          <w:lang w:val="es-AR" w:eastAsia="es-AR" w:bidi="es-AR"/>
        </w:rPr>
      </w:pPr>
      <w:r>
        <w:rPr>
          <w:lang w:val="es-AR" w:eastAsia="es-AR" w:bidi="es-AR"/>
        </w:rPr>
        <w:t xml:space="preserve">Sobre tal linea de ideas, a los fines de cuantificar el resarcimiento del presente rubro debe considerarse: 1) la edad del actor (77 años al momento del hecho); 2) su ocupación (jubilado); 3) la naturaleza de las lesiones sufridas y sus secuelas que alcanzan una incapacidad del 4,2% (pericia médica 1-12-2024) y 4) la implicancia de estas en su vida en relación y en el proyecto de vida. </w:t>
      </w:r>
    </w:p>
    <w:p>
      <w:pPr>
        <w:pStyle w:val="[Normal]"/>
        <w:spacing w:line="360" w:lineRule="auto"/>
        <w:ind w:firstLine="1134"/>
        <w:jc w:val="both"/>
        <w:rPr>
          <w:lang w:val="es-AR" w:eastAsia="es-AR" w:bidi="es-AR"/>
        </w:rPr>
      </w:pPr>
      <w:r>
        <w:rPr>
          <w:lang w:val="es-AR" w:eastAsia="es-AR" w:bidi="es-AR"/>
        </w:rPr>
        <w:t xml:space="preserve">Consecuentemente,  he de fijar la indemnización por este rubro en la suma de pesos un millón doscientos mil ($1.800.000).-</w:t>
      </w:r>
    </w:p>
    <w:p>
      <w:pPr>
        <w:pStyle w:val="[Normal]"/>
        <w:spacing w:line="360" w:lineRule="auto"/>
        <w:ind w:firstLine="1134"/>
        <w:jc w:val="both"/>
        <w:rPr>
          <w:lang w:val="es-AR" w:eastAsia="es-AR" w:bidi="es-AR"/>
        </w:rPr>
      </w:pPr>
      <w:r>
        <w:rPr>
          <w:lang w:val="es-AR" w:eastAsia="es-AR" w:bidi="es-AR"/>
        </w:rPr>
        <w:t xml:space="preserve">Sobre el daño moral</w:t>
      </w:r>
      <w:r>
        <w:rPr>
          <w:b/>
          <w:lang w:val="es-AR" w:eastAsia="es-AR" w:bidi="es-AR"/>
        </w:rPr>
        <w:t xml:space="preserve">,</w:t>
      </w:r>
      <w:r>
        <w:rPr>
          <w:lang w:val="es-AR" w:eastAsia="es-AR" w:bidi="es-AR"/>
        </w:rPr>
        <w:t xml:space="preserve"> he de señalar que la Cámara de Apelación en lo Civil y Comercial de San Nicolás ha entendido que </w:t>
      </w:r>
      <w:r>
        <w:rPr>
          <w:i/>
          <w:lang w:val="es-AR" w:eastAsia="es-AR" w:bidi="es-AR"/>
        </w:rPr>
        <w:t xml:space="preserve">"La valoración del detrimento del daño moral no se encuentra sujeta a cánones estrictos, sino que corresponde a los jueces de la causa establecer en forma prudente el quantum indemnizatorio, tomando como base la gravitación de la lesión sufrida y el hecho generador de la responsabilidad, su función resarcitoria y el principio de reparación integral; tal valoración está sujeta a la apreciación prudencial de los jueces (art. 165 del C.P.C. y C.), ello en atención a que son obvias las dificultades que existen para mensurar en dinero un detrimento de naturaleza no patrimonial, razón por la que ha de tratarse de que atienda apropiadamente a la magnitud del menoscabo espiritual.  Siendo ello así, la reparación del daño moral debe ser determinada ponderando esencialmente la índole de los sufrimientos de quien los padece y no mediante una proporción que los vincule con los daños cuya indemnización se reclama"</w:t>
      </w:r>
      <w:r>
        <w:rPr>
          <w:lang w:val="es-AR" w:eastAsia="es-AR" w:bidi="es-AR"/>
        </w:rPr>
        <w:t xml:space="preserve"> (CC0100 SN 8512, Carátula: Rizzotto, Luis Alberto y Otro c/ Miño, Angel Amavelio y Otros s/ Daños y Perjuicios S 20/12/2011).-</w:t>
      </w:r>
    </w:p>
    <w:p>
      <w:pPr>
        <w:pStyle w:val="[Normal]"/>
        <w:spacing w:line="360" w:lineRule="auto"/>
        <w:ind w:firstLine="1134"/>
        <w:jc w:val="both"/>
        <w:rPr>
          <w:lang w:val="es-AR" w:eastAsia="es-AR" w:bidi="es-AR"/>
        </w:rPr>
      </w:pPr>
      <w:r>
        <w:rPr>
          <w:lang w:val="es-AR" w:eastAsia="es-AR" w:bidi="es-AR"/>
        </w:rPr>
        <w:t xml:space="preserve">Parto entonces de la base de que el daño moral, no patrimonial o extrapatrimonial (Art. 1741 CCCN) puede ser concebido como el comprensivo “de todos los detrimentos espirituales no incapacitantes del actor, el dolor, las aflicciones, los padecimientos, desconsuelo, desdicha, congoja, que provocan malestar grave y que alteran la estructura de los pensamientos, emociones y sentimientos” (arts. 1078 CC y 1741 CCCN; esta Sala, sentencia única recaída en causas nº 61.417, “Latu…” y nº 61.459, “Corradi…”, del 07/03/2017; causas nro. 62.485, “Zampatti” y nro. 62.567, “Gorozo”, sent. única del 22/5/18).  La víctima tiene una percepción negativa o distorsionada de la realidad (a raíz de la alteración de los pensamientos), que provoca repercusiones desfavorables en las emociones (ira, miedo, alegría, tristeza, asco, sorpresa) alterando los sentimientos (amor, fe, vergüenza, odio, culpa, envidia; arts. 1078 y 1741 CCCN)” (Galdós, Jorge Mario, “Hacia una nueva concepción del daño moral.  El aporte de las neurociencias” La Ley 28/9/2020, AR/DOC/2903/2020, criterio recogido por el Tribunal Colegiado de Responsabilidad Extrancontractual N° 1, Primera Secretaría, de Santa Fe, CUIJ 21-12154089-1, autos “Monzón…”, sent. del día 13 de noviembre de 2020).-</w:t>
      </w:r>
    </w:p>
    <w:p>
      <w:pPr>
        <w:pStyle w:val="[Normal]"/>
        <w:spacing w:line="360" w:lineRule="auto"/>
        <w:ind w:firstLine="1134"/>
        <w:jc w:val="both"/>
        <w:rPr>
          <w:lang w:val="es-AR" w:eastAsia="es-AR" w:bidi="es-AR"/>
        </w:rPr>
      </w:pPr>
      <w:r>
        <w:rPr>
          <w:lang w:val="es-AR" w:eastAsia="es-AR" w:bidi="es-AR"/>
        </w:rPr>
        <w:t xml:space="preserve">El resarcimiento del rubro y el ejercicio de las facultades emergentes del Art. 165 del CPCC quedan librados al prudente arbitrio judicial, y en el caso puntual este daño moral no requiere la producción de prueba directa, se lo tiene por configurado ante la razonable presunción de que el ilícito afectó el equilibrio espiritual de la persona.  Es que se  funda en el art. 1741 del CCyC y se tiene por acreditado con la sola comisión del acto antijurídico, puesto se trata de una prueba in re ipsa, esto es, que surge inmediatamente de los hechos mismos, sin que tenga que guardar proporción con los demás perjuicios admitidos.- </w:t>
      </w:r>
    </w:p>
    <w:p>
      <w:pPr>
        <w:pStyle w:val="[Normal]"/>
        <w:spacing w:line="360" w:lineRule="auto"/>
        <w:ind w:firstLine="1134"/>
        <w:jc w:val="both"/>
        <w:rPr>
          <w:lang w:val="es-AR" w:eastAsia="es-AR" w:bidi="es-AR"/>
        </w:rPr>
      </w:pPr>
      <w:r>
        <w:rPr>
          <w:lang w:val="es-AR" w:eastAsia="es-AR" w:bidi="es-AR"/>
        </w:rPr>
        <w:t xml:space="preserve">En la especie, claramente surge que la situación vivida por la actora le ha provocado una alteración del equilibrio espiritual, por lo que en la tarea de mensuración he de tener en cuenta la naturaleza del daño, su extensión, el reposo que tuvo que guardar, su edad y la judicialización a la que tuvo que acudir en sede civil para obtener una respuesta jurisdiccional, es que propongo al Acuerdo fijar el daño moral en la suma de pesos seiscientos mil ($800.000).-</w:t>
      </w:r>
    </w:p>
    <w:p>
      <w:pPr>
        <w:pStyle w:val="[Normal]"/>
        <w:spacing w:line="360" w:lineRule="auto"/>
        <w:ind w:firstLine="1134"/>
        <w:jc w:val="both"/>
        <w:rPr>
          <w:lang w:val="es-AR" w:eastAsia="es-AR" w:bidi="es-AR"/>
        </w:rPr>
      </w:pPr>
      <w:r>
        <w:rPr>
          <w:lang w:val="es-AR" w:eastAsia="es-AR" w:bidi="es-AR"/>
        </w:rPr>
        <w:t xml:space="preserve">En lo atinente al rubro daño emergente</w:t>
      </w:r>
      <w:r>
        <w:rPr>
          <w:b/>
          <w:lang w:val="es-AR" w:eastAsia="es-AR" w:bidi="es-AR"/>
        </w:rPr>
        <w:t xml:space="preserve">,</w:t>
      </w:r>
      <w:r>
        <w:rPr>
          <w:lang w:val="es-AR" w:eastAsia="es-AR" w:bidi="es-AR"/>
        </w:rPr>
        <w:t xml:space="preserve"> la parte actora reclama la suma de pesos tres millones doscientos noventa y cinco mil ($ 3.295.000) en concepto de reparación del automóvil Renault Megane II de su propiedad, conforme los presupuestos correspondientes al valor de autopartes y mano de obra acompañados con el escrito de demanda.</w:t>
      </w:r>
    </w:p>
    <w:p>
      <w:pPr>
        <w:pStyle w:val="[Normal]"/>
        <w:spacing w:line="360" w:lineRule="auto"/>
        <w:ind w:firstLine="1134"/>
        <w:jc w:val="both"/>
        <w:rPr>
          <w:lang w:val="es-AR" w:eastAsia="es-AR" w:bidi="es-AR"/>
        </w:rPr>
      </w:pPr>
      <w:r>
        <w:rPr>
          <w:lang w:val="es-AR" w:eastAsia="es-AR" w:bidi="es-AR"/>
        </w:rPr>
        <w:t xml:space="preserve">Surge de las constancias de autos que, al promover la acción, la actora adjuntó dos presupuestos: uno correspondiente al costo de las autopartes requeridas y otro vinculado a las tareas de chapa, pintura y mano de obra, cuyo monto total asciende a la suma precedentemente indicada.</w:t>
      </w:r>
    </w:p>
    <w:p>
      <w:pPr>
        <w:pStyle w:val="[Normal]"/>
        <w:spacing w:line="360" w:lineRule="auto"/>
        <w:ind w:firstLine="1134"/>
        <w:jc w:val="both"/>
        <w:rPr>
          <w:lang w:val="es-AR" w:eastAsia="es-AR" w:bidi="es-AR"/>
        </w:rPr>
      </w:pPr>
      <w:r>
        <w:rPr>
          <w:lang w:val="es-AR" w:eastAsia="es-AR" w:bidi="es-AR"/>
        </w:rPr>
        <w:t xml:space="preserve">Asimismo, la pericia mecánica producida en la causa otorga adecuado respaldo técnico al reclamo. En efecto, el perito ingeniero mecánico designado concluyó que los valores consignados en los presupuestos acompañados resultan acordes a los precios de mercado vigentes para el tipo de reparaciones y repuestos necesarios a fin de subsanar los daños constatados en el rodado.</w:t>
      </w:r>
    </w:p>
    <w:p>
      <w:pPr>
        <w:pStyle w:val="[Normal]"/>
        <w:spacing w:line="360" w:lineRule="auto"/>
        <w:ind w:firstLine="1134"/>
        <w:jc w:val="both"/>
        <w:rPr>
          <w:lang w:val="es-AR" w:eastAsia="es-AR" w:bidi="es-AR"/>
        </w:rPr>
      </w:pPr>
      <w:r>
        <w:rPr>
          <w:lang w:val="es-AR" w:eastAsia="es-AR" w:bidi="es-AR"/>
        </w:rPr>
        <w:t xml:space="preserve">Por otra parte, con fecha 7/10/2024 la actora acompañó las respuestas a los oficios librados tanto a la casa de repuestos como al taller mecánico interviniente, mediante las cuales se informaron valores actualizados respecto de los presupuestos originalmente acompañados.</w:t>
      </w:r>
    </w:p>
    <w:p>
      <w:pPr>
        <w:pStyle w:val="[Normal]"/>
        <w:spacing w:line="360" w:lineRule="auto"/>
        <w:ind w:firstLine="1134"/>
        <w:jc w:val="both"/>
        <w:rPr>
          <w:lang w:val="es-AR" w:eastAsia="es-AR" w:bidi="es-AR"/>
        </w:rPr>
      </w:pPr>
      <w:r>
        <w:rPr>
          <w:lang w:val="es-AR" w:eastAsia="es-AR" w:bidi="es-AR"/>
        </w:rPr>
        <w:t xml:space="preserve">No obstante ello, se advierte que el experto circunscribió su análisis exclusivamente a los presupuestos agregados con el escrito de inicio, sin expedirse en modo alguno acerca de las actualizaciones posteriores incorporadas antes de la producción de la experticia. En tales condiciones, y en ausencia de validación técnica específica respecto de dichos importes actualizados, corresponde otorgar eficacia probatoria únicamente a los presupuestos originariamente acompañados con la demanda, los cuales cuentan con el debido respaldo pericial.</w:t>
      </w:r>
    </w:p>
    <w:p>
      <w:pPr>
        <w:pStyle w:val="[Normal]"/>
        <w:spacing w:line="360" w:lineRule="auto"/>
        <w:ind w:firstLine="1134"/>
        <w:jc w:val="both"/>
        <w:rPr>
          <w:lang w:val="es-AR" w:eastAsia="es-AR" w:bidi="es-AR"/>
        </w:rPr>
      </w:pPr>
      <w:r>
        <w:rPr>
          <w:lang w:val="es-AR" w:eastAsia="es-AR" w:bidi="es-AR"/>
        </w:rPr>
        <w:t xml:space="preserve">En consecuencia, corresponde admitir el rubro “daño emergente” y fijar la indemnización por los daños materiales sufridos por el vehículo en la suma de pesos tres millones doscientos noventa y cinco mil ($ 3.295.000).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lo atinente al rubro desvalorización del vehículo, el recurrente sostiene que, como consecuencia del siniestro, el automotor habría experimentado una pérdida del 15,34 % de su valor de mercado, reclamando por tal concepto la suma de pesos tres millones setecientos setenta y siete mil ($ 3.777.000).-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No obstante ello, de la pericia mecánica presentada con fecha 26/11/2024 surge con claridad que el perito ingeniero Ferretti expresó: </w:t>
      </w:r>
      <w:r>
        <w:rPr>
          <w:i/>
          <w:lang w:val="es-AR" w:eastAsia="es-AR" w:bidi="es-AR"/>
        </w:rPr>
        <w:t xml:space="preserve">“No habiendo descripción de fallas estructurales, y realizando en el mismo los cambios de repuesto y reparación consignados en el presupuesto de págs. 19 y 20 adjuntos del presente expediente, el automóvil no debería sufrir desvalorización alguna”.-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Así las cosas, el dictamen técnico descarta de manera concreta la existencia de una merma en el valor del rodado derivada del hecho dañoso, en tanto no se verificaron daños estructurales susceptibles de afectar su cotización en el mercado, siempre que se efectúen las reparaciones indicadas.-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ese marco, y no advirtiéndose elementos probatorios de entidad que autoricen apartarse de las conclusiones periciales (las que, por su naturaleza técnica, revisten especial relevancia), corresponde desestimar el presente rubro.-</w:t>
      </w:r>
    </w:p>
    <w:p>
      <w:pPr>
        <w:pStyle w:val="[Normal]"/>
        <w:spacing w:line="360" w:lineRule="auto"/>
        <w:ind w:firstLine="1134"/>
        <w:jc w:val="both"/>
        <w:rPr>
          <w:lang w:val="es-AR" w:eastAsia="es-AR" w:bidi="es-AR"/>
        </w:rPr>
      </w:pPr>
      <w:r>
        <w:rPr>
          <w:lang w:val="es-AR" w:eastAsia="es-AR" w:bidi="es-AR"/>
        </w:rPr>
        <w:t xml:space="preserve">En relación con el rubro privación de uso, la parte actora reclama la suma de pesos ciento cincuenta mil ($ 150.000), con fundamento en la imposibilidad de utilizar el vehículo durante el lapso de dos meses, período en el cual (según afirma) debió afrontar gastos de transporte público y/o privado, estimando un desembolso diario de $ 2.500.-</w:t>
      </w:r>
    </w:p>
    <w:p>
      <w:pPr>
        <w:pStyle w:val="[Normal]"/>
        <w:spacing w:line="360" w:lineRule="auto"/>
        <w:ind w:firstLine="1134"/>
        <w:jc w:val="both"/>
        <w:rPr>
          <w:lang w:val="es-AR" w:eastAsia="es-AR" w:bidi="es-AR"/>
        </w:rPr>
      </w:pPr>
      <w:r>
        <w:rPr>
          <w:lang w:val="es-AR" w:eastAsia="es-AR" w:bidi="es-AR"/>
        </w:rPr>
        <w:t xml:space="preserve">La jurisprudencia ha sostenido que: </w:t>
      </w:r>
      <w:r>
        <w:rPr>
          <w:i/>
          <w:lang w:val="es-AR" w:eastAsia="es-AR" w:bidi="es-AR"/>
        </w:rPr>
        <w:t xml:space="preserve">"La existencia del daño por privación de uso del rodado debe ser acreditada, toda vez que no procede "in re ipsa" del solo hecho de la privación del uso durante el tiempo que demande la realización de las reparaciones de lo daños materiales causados por el accidente"</w:t>
      </w:r>
      <w:r>
        <w:rPr>
          <w:lang w:val="es-AR" w:eastAsia="es-AR" w:bidi="es-AR"/>
        </w:rPr>
        <w:t xml:space="preserve"> (CC0002 SM 85695 320 S 14/10/2025 JUBA B2003718).-</w:t>
      </w:r>
    </w:p>
    <w:p>
      <w:pPr>
        <w:pStyle w:val="[Normal]"/>
        <w:spacing w:line="360" w:lineRule="auto"/>
        <w:ind w:firstLine="1134"/>
        <w:jc w:val="both"/>
        <w:rPr>
          <w:lang w:val="es-AR" w:eastAsia="es-AR" w:bidi="es-AR"/>
        </w:rPr>
      </w:pPr>
      <w:r>
        <w:rPr>
          <w:lang w:val="es-AR" w:eastAsia="es-AR" w:bidi="es-AR"/>
        </w:rPr>
        <w:t xml:space="preserve">En tal linea de ideas, la procedencia del rubro exigía que la reclamante acreditara, mediante prueba concreta y suficiente, los gastos efectivamente afrontados como consecuencia de la indisponibilidad del automotor durante el tiempo insumido en su reparación.</w:t>
      </w:r>
    </w:p>
    <w:p>
      <w:pPr>
        <w:pStyle w:val="[Normal]"/>
        <w:spacing w:line="360" w:lineRule="auto"/>
        <w:ind w:firstLine="1134"/>
        <w:jc w:val="both"/>
        <w:rPr>
          <w:lang w:val="es-AR" w:eastAsia="es-AR" w:bidi="es-AR"/>
        </w:rPr>
      </w:pPr>
      <w:r>
        <w:rPr>
          <w:lang w:val="es-AR" w:eastAsia="es-AR" w:bidi="es-AR"/>
        </w:rPr>
        <w:t xml:space="preserve">Sin embargo, de las constancias de autos no surge elemento probatorio alguno que permita tener por demostrados tales extremos, desde que no se acompañaron comprobantes, recibos ni otra evidencia idónea que acredite los gastos invocados o la efectiva erogación derivada de la alegada privación de uso.</w:t>
      </w:r>
    </w:p>
    <w:p>
      <w:pPr>
        <w:pStyle w:val="[Normal]"/>
        <w:spacing w:line="360" w:lineRule="auto"/>
        <w:ind w:firstLine="1134"/>
        <w:jc w:val="both"/>
        <w:rPr>
          <w:lang w:val="es-AR" w:eastAsia="es-AR" w:bidi="es-AR"/>
        </w:rPr>
      </w:pPr>
      <w:r>
        <w:rPr>
          <w:lang w:val="es-AR" w:eastAsia="es-AR" w:bidi="es-AR"/>
        </w:rPr>
        <w:t xml:space="preserve">En consecuencia, ante la ausencia de prueba suficiente sobre la existencia y cuantía del perjuicio reclamado, propongo al Acuerdo rechazar la indemnización pretendida bajo el rubro “privación de uso”.-</w:t>
      </w:r>
    </w:p>
    <w:p>
      <w:pPr>
        <w:pStyle w:val="[Normal]"/>
        <w:spacing w:line="360" w:lineRule="auto"/>
        <w:ind w:firstLine="1134"/>
        <w:jc w:val="both"/>
        <w:rPr>
          <w:lang w:val="es-AR" w:eastAsia="es-AR" w:bidi="es-AR"/>
        </w:rPr>
      </w:pPr>
      <w:r>
        <w:rPr>
          <w:lang w:val="es-AR" w:eastAsia="es-AR" w:bidi="es-AR"/>
        </w:rPr>
        <w:t xml:space="preserve">En lo que respecta a gastos de mediación, la parte actora reclama el reintegro de las sumas abonadas en concepto de anticipo de honorarios del mediador prejudicial obligatorio y gastos de carta documento cursada a la aseguradora, por un total de pesos veinte mil ciento treinta y seis ($ 20.136), acompañando comprobantes de transferencia a fin de acreditar tales erogaciones.</w:t>
      </w:r>
    </w:p>
    <w:p>
      <w:pPr>
        <w:pStyle w:val="[Normal]"/>
        <w:spacing w:line="360" w:lineRule="auto"/>
        <w:ind w:firstLine="1134"/>
        <w:jc w:val="both"/>
        <w:rPr>
          <w:lang w:val="es-AR" w:eastAsia="es-AR" w:bidi="es-AR"/>
        </w:rPr>
      </w:pPr>
      <w:r>
        <w:rPr>
          <w:lang w:val="es-AR" w:eastAsia="es-AR" w:bidi="es-AR"/>
        </w:rPr>
        <w:t xml:space="preserve">Ahora bien, aun cuando dichas sumas aparecen vinculadas a las gestiones extrajudiciales previas al inicio de la demanda, lo cierto es que no corresponde su tratamiento como un rubro indemnizatorio autónomo.-</w:t>
      </w:r>
    </w:p>
    <w:p>
      <w:pPr>
        <w:pStyle w:val="[Normal]"/>
        <w:spacing w:line="360" w:lineRule="auto"/>
        <w:ind w:firstLine="1134"/>
        <w:jc w:val="both"/>
        <w:rPr>
          <w:lang w:val="es-AR" w:eastAsia="es-AR" w:bidi="es-AR"/>
        </w:rPr>
      </w:pPr>
      <w:r>
        <w:rPr>
          <w:lang w:val="es-AR" w:eastAsia="es-AR" w:bidi="es-AR"/>
        </w:rPr>
        <w:t xml:space="preserve">En efecto, los gastos derivados de la mediación prejudicial obligatoria y diligenciamiento de la carta documento integran las erogaciones propias del trámite previo impuesto legalmente para habilitar la instancia judicial, hallándose su eventual recuperación comprendida en el régimen de costas del proceso, mas no como un daño resarcible independiente.</w:t>
      </w:r>
    </w:p>
    <w:p>
      <w:pPr>
        <w:pStyle w:val="[Normal]"/>
        <w:spacing w:line="360" w:lineRule="auto"/>
        <w:ind w:firstLine="1134"/>
        <w:jc w:val="both"/>
        <w:rPr>
          <w:lang w:val="es-AR" w:eastAsia="es-AR" w:bidi="es-AR"/>
        </w:rPr>
      </w:pPr>
      <w:r>
        <w:rPr>
          <w:lang w:val="es-AR" w:eastAsia="es-AR" w:bidi="es-AR"/>
        </w:rPr>
        <w:t xml:space="preserve">Por consiguiente, no configurándose un perjuicio autónomo indemnizable distinto de las costas del proceso, propongo al Acuerdo su rechazo.-</w:t>
      </w:r>
    </w:p>
    <w:p>
      <w:pPr>
        <w:pStyle w:val="[Normal]"/>
        <w:spacing w:line="360" w:lineRule="auto"/>
        <w:ind w:firstLine="1134"/>
        <w:jc w:val="both"/>
        <w:rPr>
          <w:i/>
          <w:lang w:val="es-AR" w:eastAsia="es-AR" w:bidi="es-AR"/>
        </w:rPr>
      </w:pPr>
      <w:r>
        <w:rPr>
          <w:lang w:val="es-AR" w:eastAsia="es-AR" w:bidi="es-AR"/>
        </w:rPr>
        <w:t xml:space="preserve">Por último, en lo tocante a los</w:t>
      </w:r>
      <w:r>
        <w:rPr>
          <w:b/>
          <w:lang w:val="es-AR" w:eastAsia="es-AR" w:bidi="es-AR"/>
        </w:rPr>
        <w:t xml:space="preserve"> </w:t>
      </w:r>
      <w:r>
        <w:rPr>
          <w:lang w:val="es-AR" w:eastAsia="es-AR" w:bidi="es-AR"/>
        </w:rPr>
        <w:t xml:space="preserve">gastos médicos, farmacéuticos y de traslados se ha dicho "</w:t>
      </w:r>
      <w:r>
        <w:rPr>
          <w:i/>
          <w:lang w:val="es-AR" w:eastAsia="es-AR" w:bidi="es-AR"/>
        </w:rPr>
        <w:t xml:space="preserve">La presunción en este punto (gastos médicos y farmacéuticos), alcanza a los gastos menores y corrientes que pudo haber incurrido el damnificado en atenciones médicas, analgésicos, traslados desde y hasta el centro de atención etc., debiéndose probar las erogaciones mayores, de una cuantía que exceda lo que en el curso normal de una lesión puede surgir.  Va de suyo que la carga de esas acreditaciones se encuentra en cabeza de quien reclama la indemnización en virtud de lo dispuesto por el art. 375 CPCC" </w:t>
      </w:r>
      <w:r>
        <w:rPr>
          <w:lang w:val="es-AR" w:eastAsia="es-AR" w:bidi="es-AR"/>
        </w:rPr>
        <w:t xml:space="preserve">(CC0202 LP 132453 RSD 247/2022 S 27/10/2022 JUBA B5083336).-</w:t>
      </w:r>
    </w:p>
    <w:p>
      <w:pPr>
        <w:pStyle w:val="[Normal]"/>
        <w:spacing w:line="360" w:lineRule="auto"/>
        <w:ind w:firstLine="1134"/>
        <w:jc w:val="both"/>
        <w:rPr>
          <w:b/>
          <w:lang w:val="es-AR" w:eastAsia="es-AR" w:bidi="es-AR"/>
        </w:rPr>
      </w:pPr>
      <w:r>
        <w:rPr>
          <w:lang w:val="es-AR" w:eastAsia="es-AR" w:bidi="es-AR"/>
        </w:rPr>
        <w:t xml:space="preserve">Así, debiendo acudir a la facultad otorgada por el último párrafo del artículo 165 del ordenamiento ritual para cuantificar el daño, en tal circunstancia se debe actuar con suma prudencia a fin de no generar un enriquecimiento sin causa, ni premiar a quien se sale del esquema probatorio aplicable, habré de fijar la suma correspondiente por este concepto en $80.000.-.</w:t>
      </w:r>
    </w:p>
    <w:p>
      <w:pPr>
        <w:pStyle w:val="[Normal]"/>
        <w:spacing w:line="360" w:lineRule="auto"/>
        <w:ind w:firstLine="1134"/>
        <w:jc w:val="both"/>
        <w:rPr>
          <w:lang w:val="es-AR" w:eastAsia="es-AR" w:bidi="es-AR"/>
        </w:rPr>
      </w:pPr>
      <w:r>
        <w:rPr>
          <w:lang w:val="es-AR" w:eastAsia="es-AR" w:bidi="es-AR"/>
        </w:rPr>
        <w:t xml:space="preserve">En punto a los intereses se aplican a los rubros incapacidad sobreviniente, daño moral y gastos médicos, farmacéuticos y de traslados admitidos una tasa pura del 6% entre la fecha del hecho (</w:t>
      </w:r>
      <w:r>
        <w:rPr>
          <w:lang w:val="es-AR" w:eastAsia="es-AR" w:bidi="es-AR"/>
        </w:rPr>
        <w:t xml:space="preserve">28/08/2023)</w:t>
      </w:r>
      <w:r>
        <w:rPr>
          <w:lang w:val="es-AR" w:eastAsia="es-AR" w:bidi="es-AR"/>
        </w:rPr>
        <w:t xml:space="preserve"> y la presente sentencia. Y de allí en adelante, la tasa pasiva más alta para los depósitos a plazo fijo que paga el Banco Provincia para sus depósitos a 30 días hasta el efectivo pago. Y respecto del rubro daño emergente desde la fecha del hecho (28/08/2023) hasta el dictamen pericial (26/11/2024) la tasa pura del 6% y de ahí en adelante la tasa pasiva más alta para los depósitos a plazo fijo que paga el Banco Provincia para sus depósitos a 30 días hasta el efectivo pago.</w:t>
      </w:r>
      <w:r>
        <w:rPr>
          <w:color w:val="000000"/>
          <w:sz w:val="21"/>
          <w:shd w:val="clear" w:color="auto" w:fill="FFFFFF"/>
          <w:lang w:val="es-AR" w:eastAsia="es-AR" w:bidi="es-AR"/>
        </w:rPr>
        <w:t xml:space="preserve">(</w:t>
      </w:r>
      <w:r>
        <w:rPr>
          <w:lang w:val="es-AR" w:eastAsia="es-AR" w:bidi="es-AR"/>
        </w:rPr>
        <w:t xml:space="preserve">SCBA, "Vera, Juan Carlos contra Provincia de Buenos Aires. Daños y perjuicios", causa C. 120.536, 18/04/2018; </w:t>
      </w:r>
      <w:r>
        <w:rPr>
          <w:color w:val="000000"/>
          <w:shd w:val="clear" w:color="auto" w:fill="FFFFFF"/>
          <w:lang w:val="es-AR" w:eastAsia="es-AR" w:bidi="es-AR"/>
        </w:rPr>
        <w:t xml:space="preserve">SCJBA, "Nidera S.A. contra Provincia de Buenos Aires. Daños y perjuicios", C. 121.134, 3/5/2018).-</w:t>
      </w:r>
    </w:p>
    <w:p>
      <w:pPr>
        <w:pStyle w:val="[Normal]"/>
        <w:spacing w:line="360" w:lineRule="auto"/>
        <w:ind w:firstLine="1134"/>
        <w:jc w:val="both"/>
        <w:rPr>
          <w:lang w:val="es-AR" w:eastAsia="es-AR" w:bidi="es-AR"/>
        </w:rPr>
      </w:pPr>
      <w:r>
        <w:rPr>
          <w:lang w:val="es-AR" w:eastAsia="es-AR" w:bidi="es-AR"/>
        </w:rPr>
        <w:t xml:space="preserve">Las costas de Alzada serán distribuidas en un 50% a cargo de los demandados y en un 50% a la actora. En cambio, las de primera instancia se imponen a cargo de los demandados, porque en definitiva ha prosperado el reclamo actoral (art. 68 del CPCC y su doctrina).-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b/>
          <w:lang w:val="es-AR" w:eastAsia="es-AR" w:bidi="es-AR"/>
        </w:rPr>
      </w:pPr>
      <w:r>
        <w:rPr>
          <w:lang w:val="es-AR" w:eastAsia="es-AR" w:bidi="es-AR"/>
        </w:rPr>
        <w:t xml:space="preserve">Hacer lugar parcialmente al recurso de apelación deducido por la parte actora y en su mérito revocar el fallo atacado. En consecuencia, acoger la demanda entablada por la Sra. Margarita Bounpensiere y el Sr. Eduardo Reinaldo Selmi distribuyendo la responsabilidad en el hecho la que se fija desde aquí en un 50% a cargo de la actora, y un 50% a cargo de la demandada, por lo cual la Sra. Silvana Marcela Covacevich, el Sr. Tomás Horacio Poracchia y la citada en garantía deberán responder en esa proporción en la suma de pesos cinco millones novecientos setenta y cinco mil ($5.975.000) con más sus intereses en la forma dispuesta en los considerandos de este fallo.-</w:t>
      </w:r>
    </w:p>
    <w:p>
      <w:pPr>
        <w:pStyle w:val="[Normal]"/>
        <w:spacing w:line="360" w:lineRule="auto"/>
        <w:ind w:firstLine="1134"/>
        <w:jc w:val="both"/>
        <w:rPr>
          <w:lang w:val="es-AR" w:eastAsia="es-AR" w:bidi="es-AR"/>
        </w:rPr>
      </w:pPr>
      <w:r>
        <w:rPr>
          <w:lang w:val="es-AR" w:eastAsia="es-AR" w:bidi="es-AR"/>
        </w:rPr>
        <w:t xml:space="preserve">Imponer las costas de primera instancia a cargo de los demandados, y las de Alzada serán distribuidas en un 50% a cargo de los demandados y el 50% a la actora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b/>
          <w:lang w:val="es-AR" w:eastAsia="es-AR" w:bidi="es-AR"/>
        </w:rPr>
      </w:pPr>
      <w:r>
        <w:rPr>
          <w:lang w:val="es-AR" w:eastAsia="es-AR" w:bidi="es-AR"/>
        </w:rPr>
        <w:t xml:space="preserve">Hacer lugar parcialmente al recurso de apelación deducido por la parte actora y en su mérito revocar el fallo atacado. En consecuencia, acoger la demanda entablada por la Sra. Margarita Bounpensiere y el Sr. Eduardo Reinaldo Selmi distribuyendo la responsabilidad en el hecho la que se fija desde aquí en un 50% a cargo de la actora, y un 50% a cargo de la demandada, por lo cual la Sra. Silvana Marcela Covacevich, el Sr. Tomás Horacio Poracchia y la citada en garantía deberán responder en esa proporción en la suma de pesos cinco millones novecientos setenta y cinco mil ($5.975.000) con más sus intereses en la forma dispuesta en los considerandos de este fallo.-</w:t>
      </w:r>
    </w:p>
    <w:p>
      <w:pPr>
        <w:pStyle w:val="[Normal]"/>
        <w:spacing w:line="360" w:lineRule="auto"/>
        <w:ind w:firstLine="1134"/>
        <w:jc w:val="both"/>
        <w:rPr>
          <w:lang w:val="es-AR" w:eastAsia="es-AR" w:bidi="es-AR"/>
        </w:rPr>
      </w:pPr>
      <w:r>
        <w:rPr>
          <w:lang w:val="es-AR" w:eastAsia="es-AR" w:bidi="es-AR"/>
        </w:rPr>
        <w:t xml:space="preserve">Imponer las costas de primera instancia a cargo de los demandados, y las de Alzada serán distribuidas en un 50% a cargo de los demandados y el 50% a la actora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14/05/2026 09:59:50 -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14/05/2026 10:14:25 -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14/05/2026 11:08:33 -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‰7T")è&amp;xè(gŠ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235202090006880008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14/05/2026 11:09:06 hs. bajo el número RS-80-2026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Default">
    <w:name w:val="Default"/>
    <w:basedOn w:val="[Normal]"/>
    <w:next w:val="Default"/>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color w:val="000000"/>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