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spacing w:line="360" w:lineRule="auto"/>
        <w:ind w:firstLine="1134"/>
        <w:jc w:val="both"/>
        <w:rPr>
          <w:lang w:val="es-AR" w:eastAsia="es-AR" w:bidi="es-AR"/>
        </w:rPr>
      </w:pPr>
      <w:r>
        <w:rPr>
          <w:lang w:val="es-AR" w:eastAsia="es-AR" w:bidi="es-AR"/>
        </w:rPr>
        <w:t xml:space="preserve"> En la ciudad de Pergamino, reunidos en Acuerdo Ordinario los Sres. Jueces de la Excma. Cámara de Apelación en lo Civil y Comercial del Departamento Judicial Pergamino, para dictar sentencia en la causa N° </w:t>
      </w:r>
      <w:r>
        <w:rPr>
          <w:b/>
          <w:color w:val="000000"/>
          <w:lang w:val="es-AR" w:eastAsia="es-AR" w:bidi="es-AR"/>
        </w:rPr>
        <w:t xml:space="preserve">5947-25</w:t>
      </w:r>
      <w:r>
        <w:rPr>
          <w:lang w:val="es-AR" w:eastAsia="es-AR" w:bidi="es-AR"/>
        </w:rPr>
        <w:t xml:space="preserve"> caratulada </w:t>
      </w:r>
      <w:r>
        <w:rPr>
          <w:b/>
          <w:lang w:val="es-AR" w:eastAsia="es-AR" w:bidi="es-AR"/>
        </w:rPr>
        <w:t xml:space="preserve">"</w:t>
      </w:r>
      <w:r>
        <w:rPr>
          <w:b/>
          <w:color w:val="000000"/>
          <w:lang w:val="es-AR" w:eastAsia="es-AR" w:bidi="es-AR"/>
        </w:rPr>
        <w:t xml:space="preserve">REGNER LAUREANO C/ GARCIA DANIEL ENRIQUE Y OTRO/A S/ DAÑOS Y PERJ. AUTOM. S/LESIONES (EXC. ESTADO)</w:t>
      </w:r>
      <w:r>
        <w:rPr>
          <w:b/>
          <w:lang w:val="es-AR" w:eastAsia="es-AR" w:bidi="es-AR"/>
        </w:rPr>
        <w:t xml:space="preserve">"</w:t>
      </w:r>
      <w:r>
        <w:rPr>
          <w:lang w:val="es-AR" w:eastAsia="es-AR" w:bidi="es-AR"/>
        </w:rPr>
        <w:t xml:space="preserve">, Expte. N° 79.531</w:t>
      </w:r>
      <w:r>
        <w:rPr>
          <w:color w:val="000000"/>
          <w:lang w:val="es-AR" w:eastAsia="es-AR" w:bidi="es-AR"/>
        </w:rPr>
        <w:t xml:space="preserve"> </w:t>
      </w:r>
      <w:r>
        <w:rPr>
          <w:lang w:val="es-AR" w:eastAsia="es-AR" w:bidi="es-AR"/>
        </w:rPr>
        <w:t xml:space="preserve">del  Juzgado Civil y Comercial N° 1</w:t>
      </w:r>
      <w:r>
        <w:rPr>
          <w:color w:val="0000FF"/>
          <w:lang w:val="es-AR" w:eastAsia="es-AR" w:bidi="es-AR"/>
        </w:rPr>
        <w:t xml:space="preserve">,</w:t>
      </w:r>
      <w:r>
        <w:rPr>
          <w:lang w:val="es-AR" w:eastAsia="es-AR" w:bidi="es-AR"/>
        </w:rPr>
        <w:t xml:space="preserve"> se practicó el sorteo de ley que determinó que la votación debía efectuarse en el siguiente orden: Roberto Degleue y Graciela Scaraffia</w:t>
      </w:r>
      <w:r>
        <w:rPr>
          <w:color w:val="0000FF"/>
          <w:lang w:val="es-AR" w:eastAsia="es-AR" w:bidi="es-AR"/>
        </w:rPr>
        <w:t xml:space="preserve">,</w:t>
      </w:r>
      <w:r>
        <w:rPr>
          <w:lang w:val="es-AR" w:eastAsia="es-AR" w:bidi="es-AR"/>
        </w:rPr>
        <w:t xml:space="preserve"> y estudiados los autos se resolvió plantear y votar las siguientes: </w:t>
      </w:r>
    </w:p>
    <w:p>
      <w:pPr>
        <w:pStyle w:val="[Normal]"/>
        <w:spacing w:line="360" w:lineRule="auto"/>
        <w:ind w:firstLine="1134"/>
        <w:jc w:val="both"/>
        <w:rPr>
          <w:lang w:val="es-AR" w:eastAsia="es-AR" w:bidi="es-AR"/>
        </w:rPr>
      </w:pPr>
      <w:r>
        <w:rPr>
          <w:b/>
          <w:lang w:val="es-AR" w:eastAsia="es-AR" w:bidi="es-AR"/>
        </w:rPr>
        <w:t xml:space="preserve">C U E S T I O N E S</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el señor Juez Roberto Degleue dijo: </w:t>
      </w:r>
    </w:p>
    <w:p>
      <w:pPr>
        <w:pStyle w:val="[Normal]"/>
        <w:spacing w:line="360" w:lineRule="auto"/>
        <w:ind w:firstLine="1134"/>
        <w:jc w:val="both"/>
        <w:rPr>
          <w:lang w:val="es-AR" w:eastAsia="es-AR" w:bidi="es-AR"/>
        </w:rPr>
      </w:pPr>
      <w:r>
        <w:rPr>
          <w:lang w:val="es-AR" w:eastAsia="es-AR" w:bidi="es-AR"/>
        </w:rPr>
        <w:t xml:space="preserve">El señor Juez de la anterior instancia declaró la inconstitucionalidad sobreviniente de los arts. 7 y 10 de la ley 23.928, según texto de la ley 25.561, y su inaplicabilidad al caso, a fin de disponer una equitativa actualización del crédito adeudado. En consecuencia, hizo lugar a la demanda incoada y condenó a la parte demandada, Sr. Daniel Enrique García, y a la citada en garantía Agrosalta Cooperativa de Seguros Limitada, a abonar a la parte actora, dentro del plazo de 10 días de notificada la sentencia, la suma de pesos siete millones quinientos mil ($7.500.000), actualizable conforme lo dispuesto en el considerando VIII, con más los intereses calculados en la forma establecida en el considerando VII, desde la fecha del hecho (20/12/2023) y hasta su efectivo pago. Impuso las costas a la parte demandada y a la citada en garantía y difirió la regulación de honorarios de las personas profesionales intervinientes hasta tanto medie liquidación firme de intereses y gastos.</w:t>
      </w:r>
    </w:p>
    <w:p>
      <w:pPr>
        <w:pStyle w:val="[Normal]"/>
        <w:spacing w:line="360" w:lineRule="auto"/>
        <w:ind w:firstLine="1134"/>
        <w:jc w:val="both"/>
        <w:rPr>
          <w:lang w:val="es-AR" w:eastAsia="es-AR" w:bidi="es-AR"/>
        </w:rPr>
      </w:pPr>
      <w:r>
        <w:rPr>
          <w:lang w:val="es-AR" w:eastAsia="es-AR" w:bidi="es-AR"/>
        </w:rPr>
        <w:t xml:space="preserve">Disconforme con lo resuelto, la apoderada de la citada en garantía interpuso recurso de apelación el 4/11/2025, el que fue concedido libremente el 7/11/2025. Radicadas las actuaciones ante este organismo el 15/11/2025, expresó agravios el 26/12/2025, cuyo traslado fue contestado por la parte actora el 6/2/2026. Finalmente, el 10/2/2026 se llamaron autos para sentencia, providencia que se encuentra firme y deja la causa en condiciones de ser resuelta.</w:t>
      </w:r>
    </w:p>
    <w:p>
      <w:pPr>
        <w:pStyle w:val="[Normal]"/>
        <w:spacing w:line="360" w:lineRule="auto"/>
        <w:ind w:firstLine="1134"/>
        <w:jc w:val="both"/>
        <w:rPr>
          <w:lang w:val="es-AR" w:eastAsia="es-AR" w:bidi="es-AR"/>
        </w:rPr>
      </w:pPr>
      <w:r>
        <w:rPr>
          <w:lang w:val="es-AR" w:eastAsia="es-AR" w:bidi="es-AR"/>
        </w:rPr>
        <w:t xml:space="preserve">Se agravia la recurrente por el reconocimiento del rubro daño moral, sosteniendo que ni de los términos de la sentencia ni de la demanda surgen padecimientos o secuelas de entidad suficiente que justifiquen su procedencia. Cita jurisprudencia que considera aplicable y solicita el rechazo de dicho rubro.</w:t>
      </w:r>
    </w:p>
    <w:p>
      <w:pPr>
        <w:pStyle w:val="[Normal]"/>
        <w:spacing w:line="360" w:lineRule="auto"/>
        <w:ind w:firstLine="1134"/>
        <w:jc w:val="both"/>
        <w:rPr>
          <w:lang w:val="es-AR" w:eastAsia="es-AR" w:bidi="es-AR"/>
        </w:rPr>
      </w:pPr>
      <w:r>
        <w:rPr>
          <w:lang w:val="es-AR" w:eastAsia="es-AR" w:bidi="es-AR"/>
        </w:rPr>
        <w:t xml:space="preserve">En segundo término, cuestiona la declaración de inconstitucionalidad dispuesta por el a quo y la fórmula de actualización establecida. Señala que los valores correspondientes al daño material fueron cuantificados a la fecha de la pericia, mientras que los atinentes al daño moral lo fueron a la fecha de la sentencia.</w:t>
      </w:r>
    </w:p>
    <w:p>
      <w:pPr>
        <w:pStyle w:val="[Normal]"/>
        <w:spacing w:line="360" w:lineRule="auto"/>
        <w:ind w:firstLine="1134"/>
        <w:jc w:val="both"/>
        <w:rPr>
          <w:lang w:val="es-AR" w:eastAsia="es-AR" w:bidi="es-AR"/>
        </w:rPr>
      </w:pPr>
      <w:r>
        <w:rPr>
          <w:lang w:val="es-AR" w:eastAsia="es-AR" w:bidi="es-AR"/>
        </w:rPr>
        <w:t xml:space="preserve">Sostiene que el anatocismo constituye una figura excepcional y de aplicación restrictiva, limitada a los supuestos expresamente previstos por la ley, afirmando que su admisión convierte las deudas en obligaciones de magnitud indefinida, en contradicción con los principios que rigen la materia. Refiere asimismo que en la actualidad las sentencias fijan montos a valores vigentes al momento de su dictado, por lo que considera inaplicable al caso la jurisprudencia invocada por la parte actora. Agrega que la prohibición legal de capitalizar intereses procura evitar situaciones de indebido aprovechamiento por parte de los acreedores. Cita doctrina en sustento de su postura.</w:t>
      </w:r>
    </w:p>
    <w:p>
      <w:pPr>
        <w:pStyle w:val="[Normal]"/>
        <w:spacing w:line="360" w:lineRule="auto"/>
        <w:ind w:firstLine="1134"/>
        <w:jc w:val="both"/>
        <w:rPr>
          <w:lang w:val="es-AR" w:eastAsia="es-AR" w:bidi="es-AR"/>
        </w:rPr>
      </w:pPr>
      <w:r>
        <w:rPr>
          <w:lang w:val="es-AR" w:eastAsia="es-AR" w:bidi="es-AR"/>
        </w:rPr>
        <w:t xml:space="preserve">Insiste en que el planteo formulado por la accionante no aporta fundamentos suficientes que permitan desplazar la presunción de constitucionalidad de los arts. 7 y 10 de la ley 23.928 y concordantes, los cuales receptan un sistema nominalista para las obligaciones dinerarias. Invoca doctrina legal de la S.C.B.A. en apoyo de su posición.</w:t>
      </w:r>
    </w:p>
    <w:p>
      <w:pPr>
        <w:pStyle w:val="[Normal]"/>
        <w:spacing w:line="360" w:lineRule="auto"/>
        <w:ind w:firstLine="1134"/>
        <w:jc w:val="both"/>
        <w:rPr>
          <w:lang w:val="es-AR" w:eastAsia="es-AR" w:bidi="es-AR"/>
        </w:rPr>
      </w:pPr>
      <w:r>
        <w:rPr>
          <w:lang w:val="es-AR" w:eastAsia="es-AR" w:bidi="es-AR"/>
        </w:rPr>
        <w:t xml:space="preserve">Afirma, finalmente, que la confirmación del decisorio importaría una vulneración del derecho de propiedad constitucionalmente reconocido y resultaría contraria a normas actualmente vigentes.</w:t>
      </w:r>
    </w:p>
    <w:p>
      <w:pPr>
        <w:pStyle w:val="[Normal]"/>
        <w:spacing w:line="360" w:lineRule="auto"/>
        <w:ind w:firstLine="1134"/>
        <w:jc w:val="both"/>
        <w:rPr>
          <w:lang w:val="es-AR" w:eastAsia="es-AR" w:bidi="es-AR"/>
        </w:rPr>
      </w:pPr>
      <w:r>
        <w:rPr>
          <w:lang w:val="es-AR" w:eastAsia="es-AR" w:bidi="es-AR"/>
        </w:rPr>
        <w:t xml:space="preserve">Solicita la revocación de la sentencia de grado en todo aquello que fuera materia de agravios, con imposición de costas.</w:t>
      </w:r>
    </w:p>
    <w:p>
      <w:pPr>
        <w:pStyle w:val="[Normal]"/>
        <w:spacing w:line="360" w:lineRule="auto"/>
        <w:ind w:firstLine="1134"/>
        <w:jc w:val="both"/>
        <w:rPr>
          <w:lang w:val="es-AR" w:eastAsia="es-AR" w:bidi="es-AR"/>
        </w:rPr>
      </w:pPr>
      <w:r>
        <w:rPr>
          <w:lang w:val="es-AR" w:eastAsia="es-AR" w:bidi="es-AR"/>
        </w:rPr>
        <w:t xml:space="preserve">Al contestar el traslado conferido, la parte actora solicita se declare desierto el recurso de apelación interpuesto por la citada en garantía Agrosalta Cooperativa de Seguros Ltda., en los términos del art. 261 del C.P.C.C., por considerar que la expresión de agravios no satisface la carga de efectuar una crítica concreta y razonada del pronunciamiento recurrido, resultando insuficiente a los fines previstos por el art. 260 del ritual. Cita doctrina aplicable.</w:t>
      </w:r>
    </w:p>
    <w:p>
      <w:pPr>
        <w:pStyle w:val="[Normal]"/>
        <w:spacing w:line="360" w:lineRule="auto"/>
        <w:ind w:firstLine="1134"/>
        <w:jc w:val="both"/>
        <w:rPr>
          <w:lang w:val="es-AR" w:eastAsia="es-AR" w:bidi="es-AR"/>
        </w:rPr>
      </w:pPr>
      <w:r>
        <w:rPr>
          <w:lang w:val="es-AR" w:eastAsia="es-AR" w:bidi="es-AR"/>
        </w:rPr>
        <w:t xml:space="preserve">Finalmente, señala que la recurrente fue tenida por no presentada al contestar demanda por incumplimiento de las cargas legales pertinentes (bono ley 8480 y anticipo previsional, conforme providencia de fecha 27/12/2024), y que posteriormente interpuso recurso de apelación con finalidad meramente dilatoria, el cual solicita sea declarado desierto por no ajustarse a las exigencias del código de rito. Invoca, entre otros antecedentes, jurisprudencia de este organismo. Por ello, peticiona la confirmación íntegra de la sentencia apelada, con costas a la recurrente vencida.</w:t>
      </w:r>
    </w:p>
    <w:p>
      <w:pPr>
        <w:pStyle w:val="[Normal]"/>
        <w:spacing w:line="360" w:lineRule="auto"/>
        <w:ind w:firstLine="1134"/>
        <w:jc w:val="both"/>
        <w:rPr>
          <w:lang w:val="es-AR" w:eastAsia="es-AR" w:bidi="es-AR"/>
        </w:rPr>
      </w:pPr>
      <w:r>
        <w:rPr>
          <w:lang w:val="es-AR" w:eastAsia="es-AR" w:bidi="es-AR"/>
        </w:rPr>
        <w:t xml:space="preserve">En forma preliminar, corresponde abordar el planteo relativo a la insuficiencia del recurso del actor planteado por la parte acora (v. presentación electrónica de fecha 6/2/2026).</w:t>
      </w:r>
    </w:p>
    <w:p>
      <w:pPr>
        <w:pStyle w:val="[Normal]"/>
        <w:spacing w:line="360" w:lineRule="auto"/>
        <w:ind w:firstLine="1134"/>
        <w:jc w:val="both"/>
        <w:rPr>
          <w:lang w:val="es-AR" w:eastAsia="es-AR" w:bidi="es-AR"/>
        </w:rPr>
      </w:pPr>
      <w:r>
        <w:rPr>
          <w:lang w:val="es-AR" w:eastAsia="es-AR" w:bidi="es-AR"/>
        </w:rPr>
        <w:t xml:space="preserve">Al respecto, ha de decirse que el escrito de la citada en garantía legitimada activa (v. presentación electrónica del  26/12/2025) ha superado el examen de admisibilidad, toda vez que se analizó con un criterio amplio de apreciación en salvaguarda de derechos de mayor jerarquía (art. 18 C.N.; MORELLO, Augusto Mario, “Los recursos extraordinarios y la eficacia del proceso”, v. I, pág. 175 a 180). </w:t>
      </w:r>
    </w:p>
    <w:p>
      <w:pPr>
        <w:pStyle w:val="[Normal]"/>
        <w:spacing w:line="360" w:lineRule="auto"/>
        <w:ind w:firstLine="1134"/>
        <w:jc w:val="both"/>
        <w:rPr>
          <w:lang w:val="es-AR" w:eastAsia="es-AR" w:bidi="es-AR"/>
        </w:rPr>
      </w:pPr>
      <w:r>
        <w:rPr>
          <w:lang w:val="es-AR" w:eastAsia="es-AR" w:bidi="es-AR"/>
        </w:rPr>
        <w:t xml:space="preserve">Entrando a resolver las cuestiones traídas a resolver, se advierte que las mismas se reducen a dos:  el reconocimiento del rubro daño moral y la inconstitucionalidad declarada en primera instancia con respecto a la actualización dispuesta en consecuencia.</w:t>
      </w:r>
    </w:p>
    <w:p>
      <w:pPr>
        <w:pStyle w:val="[Normal]"/>
        <w:spacing w:line="360" w:lineRule="auto"/>
        <w:ind w:firstLine="1134"/>
        <w:jc w:val="both"/>
        <w:rPr>
          <w:lang w:val="es-AR" w:eastAsia="es-AR" w:bidi="es-AR"/>
        </w:rPr>
      </w:pPr>
      <w:r>
        <w:rPr>
          <w:lang w:val="es-AR" w:eastAsia="es-AR" w:bidi="es-AR"/>
        </w:rPr>
        <w:t xml:space="preserve">En cuanto al primer cuestionamiento, he de advertir que en forma coincidente con lo resuelto en precedentes de este Tribunal propicio tal como lo decidiera el a quo, otorgarle el daño moral pedido y su monto porque en el nuevo sistema normativo vigente a partir del año 2015 (Código Civil y Comercial Unificado), se puso el acento en el daño no justificado como criterio de definición de la antijuridicidad, por lo que claramente, frente a la colisión que quedara probada, así como la mortificación de espíritu que el evento ocasionara a la parte actora, es dable admitir el rubro pedido, en tanto las aflicciones generadas por el siniestro fueron correctamente evaluadas por el a quo.-</w:t>
      </w:r>
    </w:p>
    <w:p>
      <w:pPr>
        <w:pStyle w:val="[Normal]"/>
        <w:spacing w:line="360" w:lineRule="auto"/>
        <w:ind w:firstLine="1134"/>
        <w:jc w:val="both"/>
        <w:rPr>
          <w:lang w:val="es-AR" w:eastAsia="es-AR" w:bidi="es-AR"/>
        </w:rPr>
      </w:pPr>
      <w:r>
        <w:rPr>
          <w:lang w:val="es-AR" w:eastAsia="es-AR" w:bidi="es-AR"/>
        </w:rPr>
        <w:t xml:space="preserve">Sobre este piso de marcha, ha dicho este Tribunal que: "como en esta materia es imposible producir prueba directa sobre el perjuicio padecido dado que la índole espiritual y subjetiva del menoscabo suele ser insusceptible de este tipo de acreditación, cobra valor la prueba indirecta la que con frecuencia -y como acontece en la especie- surge in re ipsa del hecho dañoso integralmente considerado.  Al decir de Bustamante Alsina, "...no creemos que el agravio moral debe ser objeto de prueba directa, pues ello resulta absolutamente imposible por la índole del mismo que reside en lo más íntimo de la personalidad...´ (BUSTAMANTE ALSINA, Equitativa valuación del daño no mensurable, LL, 1990-A-655). (...) Así pues la prueba indirecta del daño moral encuentra en los indicios y en las presunciones hominis, su modo natural de realización.  Deben, de tal modo, probarse los hechos en los que se basa la presunción.  En la razonable conexión entre el hecho indicativo (el cual no está exento de prueba) y el hecho indicado yace la eficacia de la prueba presuncional (art. 384 del CPBA; así también lo ha estimado esta Cámara en los autos N° en los autos N° 2204- 14 caratulados "Bada, Yésica Rita c/ Cantore, Luciano y otro/a s/ daños y perj. del./cuas. (exc. uso aut. y estado)".-</w:t>
      </w:r>
    </w:p>
    <w:p>
      <w:pPr>
        <w:pStyle w:val="[Normal]"/>
        <w:spacing w:line="360" w:lineRule="auto"/>
        <w:ind w:firstLine="1134"/>
        <w:jc w:val="both"/>
        <w:rPr>
          <w:lang w:val="es-AR" w:eastAsia="es-AR" w:bidi="es-AR"/>
        </w:rPr>
      </w:pPr>
      <w:r>
        <w:rPr>
          <w:lang w:val="es-AR" w:eastAsia="es-AR" w:bidi="es-AR"/>
        </w:rPr>
        <w:t xml:space="preserve">Finalmente, la apelante se duele contra la declaración de inconstitucionalidad efectuada por el a quo respecto a  la prohibición legal contenida en los arts. 7 y 10 de la ley 23.928 que impide la aplicación de mecanismos de actualización o repotenciación. De este modo, edifica su agravio sobre la base de que no han brindado fundamentos suficientes para descalificar dichas normas por inadecuación constitucional en el caso concreto, y que la solución adoptada a su vez contradice la doctrina de la Corte Suprema de Justicia de la Nación, que ha convalidado reiteradamente la prohibición de indexar como una medida de política económica ajena. En esa línea, invoca los precedentes “Chiara Díaz”, “Massolo”, “Oliva” y Fallos 339:1583 y 347:51, para sostener que la recomposición del crédito no puede traducirse en una indexación judicial vedada por la ley.</w:t>
      </w:r>
    </w:p>
    <w:p>
      <w:pPr>
        <w:pStyle w:val="[Normal]"/>
        <w:spacing w:line="360" w:lineRule="auto"/>
        <w:ind w:firstLine="1134"/>
        <w:jc w:val="both"/>
        <w:rPr>
          <w:lang w:val="es-AR" w:eastAsia="es-AR" w:bidi="es-AR"/>
        </w:rPr>
      </w:pPr>
      <w:r>
        <w:rPr>
          <w:lang w:val="es-AR" w:eastAsia="es-AR" w:bidi="es-AR"/>
        </w:rPr>
        <w:t xml:space="preserve">Anticipo que he de receptar la crítica del recurrente respecto a la declaración de inconstitucionalidad efectuada en el caso concreto. Es que aún cuando dicho aspecto no ha sido explícitamente tratado en la expresión de agravios, lo advierto suficientemente implícito en el núcleo crítico del agravio vertido.</w:t>
      </w:r>
    </w:p>
    <w:p>
      <w:pPr>
        <w:pStyle w:val="[Normal]"/>
        <w:spacing w:line="360" w:lineRule="auto"/>
        <w:ind w:firstLine="1134"/>
        <w:jc w:val="both"/>
        <w:rPr>
          <w:lang w:val="es-AR" w:eastAsia="es-AR" w:bidi="es-AR"/>
        </w:rPr>
      </w:pPr>
      <w:r>
        <w:rPr>
          <w:lang w:val="es-AR" w:eastAsia="es-AR" w:bidi="es-AR"/>
        </w:rPr>
        <w:t xml:space="preserve">Parto de la premisa de que en relación al tramo posterior a la sentencia (fase temporal dentro de la cual se circunscribe el efecto de la declaración de inconstitucionalidad y la consecuente actualización monetaria -dice el fallo apelado: </w:t>
      </w:r>
      <w:r>
        <w:rPr>
          <w:i/>
          <w:lang w:val="es-AR" w:eastAsia="es-AR" w:bidi="es-AR"/>
        </w:rPr>
        <w:t xml:space="preserve">"desde la fecha del dictado de la presente sentencia, aplicando el índice de aumento de precios al consumidor (IPC)"</w:t>
      </w:r>
      <w:r>
        <w:rPr>
          <w:lang w:val="es-AR" w:eastAsia="es-AR" w:bidi="es-AR"/>
        </w:rPr>
        <w:t xml:space="preserve">-), corresponde subrayar que las vicisitudes económicas que pudieran acaecer durante el tramo comprendido entre el dictado de este pronunciamiento y el efectivo pago de la condena (hoy meramente conjeturales e hipotéticas, especialmente si se tiene en cuenta la gradual desaceleración del índice de inflación operada en el último tiempo), pueden ser oportunamente planteadas y sometidas al escrutinio judicial, en caso de sobrevenir una hipótesis de conflicto constitucional de similares contornos a la evaluada por la Suprema Corte en “Barrios”, circunstancia que, eventualmente, y de verificarse análogos presupuestos formales y sustanciales, podría dar lugar a la adopción de alguno de los mecanismos de conservación del capital allí sopesados por el Alto Cuerpo, en pos de resguardar la integridad del derecho de propiedad del acreedor (conf. arg. consid. V.16.e. y ccds. del fallo citado).  </w:t>
      </w:r>
    </w:p>
    <w:p>
      <w:pPr>
        <w:pStyle w:val="[Normal]"/>
        <w:spacing w:line="360" w:lineRule="auto"/>
        <w:ind w:firstLine="1134"/>
        <w:jc w:val="both"/>
        <w:rPr>
          <w:lang w:val="es-AR" w:eastAsia="es-AR" w:bidi="es-AR"/>
        </w:rPr>
      </w:pPr>
      <w:r>
        <w:rPr>
          <w:lang w:val="es-AR" w:eastAsia="es-AR" w:bidi="es-AR"/>
        </w:rPr>
        <w:t xml:space="preserve">Por lo que considero que la declaración de inconstitucionalidad devino prematura respecto al tramo posterior a la sentencia apelada, por lo que no existe actualmente razón suficiente que justifique la confirmación de dicha declaración y la solución indexatoria dispuesta por el Juez de grado para dicho segmento temporal .-</w:t>
      </w:r>
    </w:p>
    <w:p>
      <w:pPr>
        <w:pStyle w:val="[Normal]"/>
        <w:spacing w:line="360" w:lineRule="auto"/>
        <w:ind w:firstLine="1134"/>
        <w:jc w:val="both"/>
        <w:rPr>
          <w:i/>
          <w:lang w:val="es-AR" w:eastAsia="es-AR" w:bidi="es-AR"/>
        </w:rPr>
      </w:pPr>
      <w:r>
        <w:rPr>
          <w:lang w:val="es-AR" w:eastAsia="es-AR" w:bidi="es-AR"/>
        </w:rPr>
        <w:t xml:space="preserve">Ello así por cuanto la necesidad jurídica y constitucional de indexar un crédito (en contraste con utilizar tasas bancarias sobre el tramo dinerario de una deuda de valor ya cuantificada) dependerá de las características del caso, de numerosas variables macroeconómicas y de la extensión temporal de la mora, entre otras variables.  En particular, depende de cuándo el valor fue convertido a dinero, cuándo se cancela la deuda, cómo es la evolución comparada de las tasas y el IPC en los períodos posteriores a la conversión, etcétera.  Con un índice de inflación decreciente no son pocos los escenarios en los que al actor le conviene que a su deuda de valor ya convertida en dinero se le incorpore una tasa de interés activa en contraste con el mero reajuste por índices y una tasa pura del 6% anual (cf. cit. Cámara de Apelaciones en lo Civil y Comercial de Mar del Plata, </w:t>
      </w:r>
      <w:r>
        <w:rPr>
          <w:i/>
          <w:lang w:val="es-AR" w:eastAsia="es-AR" w:bidi="es-AR"/>
        </w:rPr>
        <w:t xml:space="preserve">“DOWNIE...").-</w:t>
      </w:r>
    </w:p>
    <w:p>
      <w:pPr>
        <w:pStyle w:val="[Normal]"/>
        <w:spacing w:line="360" w:lineRule="auto"/>
        <w:ind w:firstLine="1134"/>
        <w:jc w:val="both"/>
        <w:rPr>
          <w:lang w:val="es-AR" w:eastAsia="es-AR" w:bidi="es-AR"/>
        </w:rPr>
      </w:pPr>
      <w:r>
        <w:rPr>
          <w:lang w:val="es-AR" w:eastAsia="es-AR" w:bidi="es-AR"/>
        </w:rPr>
        <w:t xml:space="preserve">Dicho en otros términos, en el estado actual de la causa, no contamos con elementos objetivos suficientes para anticipar, con grado de certeza o de fuerte probabilidad, que en el tramo posterior a la sentencia habrá de producirse necesariamente un desfasaje patrimonial constitucionalmente relevante entre el capital reconocido y su efectiva percepción. </w:t>
      </w:r>
    </w:p>
    <w:p>
      <w:pPr>
        <w:pStyle w:val="[Normal]"/>
        <w:spacing w:line="360" w:lineRule="auto"/>
        <w:ind w:firstLine="1134"/>
        <w:jc w:val="both"/>
        <w:rPr>
          <w:lang w:val="es-AR" w:eastAsia="es-AR" w:bidi="es-AR"/>
        </w:rPr>
      </w:pPr>
      <w:r>
        <w:rPr>
          <w:lang w:val="es-AR" w:eastAsia="es-AR" w:bidi="es-AR"/>
        </w:rPr>
        <w:t xml:space="preserve">Tal conclusión no puede apoyarse en una conjetura general sobre la existencia de inflación, ni en la mera posibilidad abstracta de que la moneda continúe depreciándose, pues la declaración de inconstitucionalidad exige la verificación concreta de una lesión actual o, cuanto menos, de un riesgo cierto, serio y próximo de afectación del derecho de propiedad. </w:t>
      </w:r>
    </w:p>
    <w:p>
      <w:pPr>
        <w:pStyle w:val="[Normal]"/>
        <w:spacing w:line="360" w:lineRule="auto"/>
        <w:ind w:firstLine="1134"/>
        <w:jc w:val="both"/>
        <w:rPr>
          <w:lang w:val="es-AR" w:eastAsia="es-AR" w:bidi="es-AR"/>
        </w:rPr>
      </w:pPr>
      <w:r>
        <w:rPr>
          <w:lang w:val="es-AR" w:eastAsia="es-AR" w:bidi="es-AR"/>
        </w:rPr>
        <w:t xml:space="preserve">En la especie, el crédito ya ha sido cuantificado a valores próximos al pronunciamiento, y no se sabe aún cuál será la extensión temporal de la eventual mora posterior, cuál será la evolución del IPC, cuál será el comportamiento de las tasas aplicables ni si la combinación de esos factores producirá una brecha lesiva que torne insuficientes los mecanismos ordinarios de conservación del crédito. </w:t>
      </w:r>
    </w:p>
    <w:p>
      <w:pPr>
        <w:pStyle w:val="[Normal]"/>
        <w:spacing w:line="360" w:lineRule="auto"/>
        <w:ind w:firstLine="1134"/>
        <w:jc w:val="both"/>
        <w:rPr>
          <w:lang w:val="es-AR" w:eastAsia="es-AR" w:bidi="es-AR"/>
        </w:rPr>
      </w:pPr>
      <w:r>
        <w:rPr>
          <w:lang w:val="es-AR" w:eastAsia="es-AR" w:bidi="es-AR"/>
        </w:rPr>
        <w:t xml:space="preserve">Por ello, anticipar desde ahora una solución indexatoria para un período futuro e incierto importaría resolver sobre bases hipotéticas, desplazando prematuramente el régimen legal vigente sin que se encuentre acreditado el presupuesto fáctico que habilita, como última ratio, la descalificación constitucional de la prohibición de actualizar.</w:t>
      </w:r>
    </w:p>
    <w:p>
      <w:pPr>
        <w:pStyle w:val="[Normal]"/>
        <w:spacing w:line="360" w:lineRule="auto"/>
        <w:ind w:firstLine="1134"/>
        <w:jc w:val="both"/>
        <w:rPr>
          <w:lang w:val="es-AR" w:eastAsia="es-AR" w:bidi="es-AR"/>
        </w:rPr>
      </w:pPr>
      <w:r>
        <w:rPr>
          <w:lang w:val="es-AR" w:eastAsia="es-AR" w:bidi="es-AR"/>
        </w:rPr>
        <w:t xml:space="preserve">En relación a ello, y vinculado a la temática en ciernes, la Suprema Corte de Justicia de la Provincia de Buenos Aires, en el caso </w:t>
      </w:r>
      <w:r>
        <w:rPr>
          <w:i/>
          <w:lang w:val="es-AR" w:eastAsia="es-AR" w:bidi="es-AR"/>
        </w:rPr>
        <w:t xml:space="preserve">"Barrios"</w:t>
      </w:r>
      <w:r>
        <w:rPr>
          <w:lang w:val="es-AR" w:eastAsia="es-AR" w:bidi="es-AR"/>
        </w:rPr>
        <w:t xml:space="preserve"> (Cf. SCBA, </w:t>
      </w:r>
      <w:r>
        <w:rPr>
          <w:i/>
          <w:lang w:val="es-AR" w:eastAsia="es-AR" w:bidi="es-AR"/>
        </w:rPr>
        <w:t xml:space="preserve">"Barrios, Héctor Francisco y otra contra Lascano, Sandra Beatriz y otra. Daños y perjuicios"</w:t>
      </w:r>
      <w:r>
        <w:rPr>
          <w:lang w:val="es-AR" w:eastAsia="es-AR" w:bidi="es-AR"/>
        </w:rPr>
        <w:t xml:space="preserve">, causa C. 124.096, 12/4/2024), estableció claramente que la declaración de inconstitucionalidad del artículo 7 de la ley 23.928 (que prohíbe la indexación) debe ser considerada como la última ratio. Antes de recurrir a esta medida excepcional, los jueces deben agotar otras alternativas y mecanismos legales disponibles para proteger el crédito afectado por la inflación.-</w:t>
      </w:r>
    </w:p>
    <w:p>
      <w:pPr>
        <w:pStyle w:val="[Normal]"/>
        <w:spacing w:line="360" w:lineRule="auto"/>
        <w:ind w:firstLine="1134"/>
        <w:jc w:val="both"/>
        <w:rPr>
          <w:lang w:val="es-AR" w:eastAsia="es-AR" w:bidi="es-AR"/>
        </w:rPr>
      </w:pPr>
      <w:r>
        <w:rPr>
          <w:lang w:val="es-AR" w:eastAsia="es-AR" w:bidi="es-AR"/>
        </w:rPr>
        <w:t xml:space="preserve">Según el fallo, los jueces tienen mayor libertad para definir el mecanismo de protección del crédito mientras se debate en el proceso.  No solo pueden, sino que deben preferir cualquier solución no indexatoria, incluso mediante la aplicación analógica de normas. La solución constitucional, es decir, la declaración de inconstitucionalidad y el reajuste del crédito por índice, fue, es y seguirá siendo la última opción disponible.-</w:t>
      </w:r>
    </w:p>
    <w:p>
      <w:pPr>
        <w:pStyle w:val="[Normal]"/>
        <w:spacing w:line="360" w:lineRule="auto"/>
        <w:ind w:firstLine="1134"/>
        <w:jc w:val="both"/>
        <w:rPr>
          <w:lang w:val="es-AR" w:eastAsia="es-AR" w:bidi="es-AR"/>
        </w:rPr>
      </w:pPr>
      <w:r>
        <w:rPr>
          <w:lang w:val="es-AR" w:eastAsia="es-AR" w:bidi="es-AR"/>
        </w:rPr>
        <w:t xml:space="preserve">El ministro Soria ha sido enfático en este punto, indicando que solo excepcionalmente, y cuando esas herramientas o caminos alternativos no logren el fin propuesto y decanten en una intolerable afectación del derecho creditorio del actor, puede el tribunal declarar la inconstitucionalidad del art. 7 de la Ley 23.928, y siempre que las demás condiciones del caso lo justifiquen.-</w:t>
      </w:r>
    </w:p>
    <w:p>
      <w:pPr>
        <w:pStyle w:val="[Normal]"/>
        <w:spacing w:line="360" w:lineRule="auto"/>
        <w:ind w:firstLine="1134"/>
        <w:jc w:val="both"/>
        <w:rPr>
          <w:lang w:val="es-AR" w:eastAsia="es-AR" w:bidi="es-AR"/>
        </w:rPr>
      </w:pPr>
      <w:r>
        <w:rPr>
          <w:lang w:val="es-AR" w:eastAsia="es-AR" w:bidi="es-AR"/>
        </w:rPr>
        <w:t xml:space="preserve">En virtud de lo expuesto, propiciaré dejar sin efecto la declaración de inconstitucionalidad sobrevenida efectuada por el a quo de los arts. 7 y 10 de la ley 23.928, según ley 25.561 y la consecuente actualización monetaria, y dispondré que respecto al tramo posterior a la sentencia, se aplique intereses a la tasa pasiva más alta fijada por el Banco de la Provincia de Buenos Aires en sus depósitos a treinta días, vigente al inicio de cada uno de los períodos comprendidos y, por aquellos días que no alcancen a cubrir el lapso señalado, el cálculo debe ser diario con igual tasa, desde la fecha del hecho dañoso hasta el día de su efectivo pago (conf. arts. 7, 768 inc. c) C.C.C.; 622, 623, Cód. Civ.; SCBA, "Cabrera, Pablo David c/ Ferrari, Adrián Rubén s/ Daños y perjuicios", causa C. 119.176, 15/6/2016).</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b/>
          <w:lang w:val="es-AR" w:eastAsia="es-AR" w:bidi="es-AR"/>
        </w:rPr>
        <w:t xml:space="preserve">VOTO POR LA AFIRMARTIVA.</w:t>
      </w:r>
    </w:p>
    <w:p>
      <w:pPr>
        <w:pStyle w:val="[Normal]"/>
        <w:spacing w:line="360" w:lineRule="auto"/>
        <w:ind w:firstLine="1134"/>
        <w:jc w:val="both"/>
        <w:rPr>
          <w:lang w:val="es-AR" w:eastAsia="es-AR" w:bidi="es-AR"/>
        </w:rPr>
      </w:pPr>
      <w:r>
        <w:rPr>
          <w:lang w:val="es-AR" w:eastAsia="es-AR" w:bidi="es-AR"/>
        </w:rPr>
        <w:t xml:space="preserve">A la misma cuestión la señora Jueza Graciela Scaraffia por análogos fundamentos votó en el mismo sentido.-</w:t>
      </w:r>
    </w:p>
    <w:p>
      <w:pPr>
        <w:pStyle w:val="[Normal]"/>
        <w:spacing w:line="360" w:lineRule="auto"/>
        <w:ind w:firstLine="1134"/>
        <w:jc w:val="both"/>
        <w:rPr>
          <w:lang w:val="es-AR" w:eastAsia="es-AR" w:bidi="es-AR"/>
        </w:rPr>
      </w:pPr>
      <w:r>
        <w:rPr>
          <w:lang w:val="es-AR" w:eastAsia="es-AR" w:bidi="es-AR"/>
        </w:rPr>
        <w:t xml:space="preserve">A la segunda cuestión el señor Juez Roberto Degleue dijo: 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Acoger parcialmente el recurso deducido, dejando sin efecto la declaración de inconstitucionalidad dispuesta en la sentencia primera, confirmándola en lo demás que decide.</w:t>
      </w:r>
    </w:p>
    <w:p>
      <w:pPr>
        <w:pStyle w:val="[Normal]"/>
        <w:spacing w:line="360" w:lineRule="auto"/>
        <w:ind w:firstLine="1134"/>
        <w:jc w:val="both"/>
        <w:rPr>
          <w:lang w:val="es-AR" w:eastAsia="es-AR" w:bidi="es-AR"/>
        </w:rPr>
      </w:pPr>
      <w:r>
        <w:rPr>
          <w:lang w:val="es-AR" w:eastAsia="es-AR" w:bidi="es-AR"/>
        </w:rPr>
        <w:t xml:space="preserve">Imponer las costas de Alzada en un 70% para la citada en garantía y 30% para la actora, atento el resultado obtenido (Art. 71 del C.P.C. y C).</w:t>
      </w:r>
    </w:p>
    <w:p>
      <w:pPr>
        <w:pStyle w:val="[Normal]"/>
        <w:spacing w:line="360" w:lineRule="auto"/>
        <w:ind w:firstLine="1134"/>
        <w:jc w:val="both"/>
        <w:rPr>
          <w:lang w:val="es-AR" w:eastAsia="es-AR" w:bidi="es-AR"/>
        </w:rPr>
      </w:pPr>
      <w:r>
        <w:rPr>
          <w:lang w:val="es-AR" w:eastAsia="es-AR" w:bidi="es-AR"/>
        </w:rPr>
        <w:t xml:space="preserve">Diferir la regulación de honorarios para su oportunidad (Art. 31 ley arancelaria).</w:t>
      </w:r>
    </w:p>
    <w:p>
      <w:pPr>
        <w:pStyle w:val="[Normal]"/>
        <w:spacing w:line="360" w:lineRule="auto"/>
        <w:ind w:firstLine="1134"/>
        <w:jc w:val="both"/>
        <w:rPr>
          <w:lang w:val="es-AR" w:eastAsia="es-AR" w:bidi="es-AR"/>
        </w:rPr>
      </w:pPr>
      <w:r>
        <w:rPr>
          <w:b/>
          <w:lang w:val="es-AR" w:eastAsia="es-AR" w:bidi="es-AR"/>
        </w:rPr>
        <w:t xml:space="preserve">ASÍ LO VOTO. </w:t>
      </w:r>
    </w:p>
    <w:p>
      <w:pPr>
        <w:pStyle w:val="[Normal]"/>
        <w:spacing w:line="360" w:lineRule="auto"/>
        <w:ind w:firstLine="1134"/>
        <w:jc w:val="both"/>
        <w:rPr>
          <w:lang w:val="es-AR" w:eastAsia="es-AR" w:bidi="es-AR"/>
        </w:rPr>
      </w:pPr>
      <w:r>
        <w:rPr>
          <w:lang w:val="es-AR" w:eastAsia="es-AR" w:bidi="es-AR"/>
        </w:rPr>
        <w:t xml:space="preserve">A la misma cuestión la señora Jueza Graciela Scaraffia por análogos fundamentos votó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b/>
          <w:u w:val="single"/>
          <w:lang w:val="es-AR" w:eastAsia="es-AR" w:bidi="es-AR"/>
        </w:rPr>
      </w:pPr>
      <w:r>
        <w:rPr>
          <w:b/>
          <w:u w:val="single"/>
          <w:lang w:val="es-AR" w:eastAsia="es-AR" w:bidi="es-AR"/>
        </w:rPr>
        <w:t xml:space="preserve">S E N T E N C I A</w:t>
      </w:r>
      <w:r>
        <w:rPr>
          <w:u w:val="single"/>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Acoger parcialmente el recurso deducido, dejando sin efecto la declaración de inconstitucionalidad dispuesta en la sentencia primera, confirmándola en lo demás que decide.</w:t>
      </w:r>
    </w:p>
    <w:p>
      <w:pPr>
        <w:pStyle w:val="[Normal]"/>
        <w:spacing w:line="360" w:lineRule="auto"/>
        <w:ind w:firstLine="1134"/>
        <w:jc w:val="both"/>
        <w:rPr>
          <w:lang w:val="es-AR" w:eastAsia="es-AR" w:bidi="es-AR"/>
        </w:rPr>
      </w:pPr>
      <w:r>
        <w:rPr>
          <w:lang w:val="es-AR" w:eastAsia="es-AR" w:bidi="es-AR"/>
        </w:rPr>
        <w:t xml:space="preserve">Imponer las costas de Alzada en un 70% para la citada en garantía y 30% para la actora, atento el resultado obtenido (Art. 71 del C.P.C. y C).</w:t>
      </w:r>
    </w:p>
    <w:p>
      <w:pPr>
        <w:pStyle w:val="[Normal]"/>
        <w:spacing w:line="360" w:lineRule="auto"/>
        <w:ind w:firstLine="1134"/>
        <w:jc w:val="both"/>
        <w:rPr>
          <w:lang w:val="es-AR" w:eastAsia="es-AR" w:bidi="es-AR"/>
        </w:rPr>
      </w:pPr>
      <w:r>
        <w:rPr>
          <w:lang w:val="es-AR" w:eastAsia="es-AR" w:bidi="es-AR"/>
        </w:rPr>
        <w:t xml:space="preserve">Diferir la regulación de honorarios para su oportunidad (Art. 31 ley arancelaria)</w:t>
      </w:r>
    </w:p>
    <w:p>
      <w:pPr>
        <w:pStyle w:val="[Normal]"/>
        <w:spacing w:line="360" w:lineRule="auto"/>
        <w:ind w:firstLine="1134"/>
        <w:jc w:val="both"/>
        <w:rPr>
          <w:color w:val="000000"/>
          <w:lang w:val="es-AR" w:eastAsia="es-AR" w:bidi="es-AR"/>
        </w:rPr>
      </w:pPr>
      <w:r>
        <w:rPr>
          <w:lang w:val="es-AR" w:eastAsia="es-AR" w:bidi="es-AR"/>
        </w:rPr>
        <w:t xml:space="preserve">Regístrese. Notifíquese por Secretaría (Ac. 4013 y mod. SCBA) remitiéndose copia digital de la presente sentencia a los domicilios electrónicos de las respectivas partes. Devuélvase.</w:t>
      </w:r>
    </w:p>
    <w:p>
      <w:pPr>
        <w:pStyle w:val="[Normal]"/>
        <w:spacing w:line="480" w:lineRule="auto"/>
        <w:ind w:firstLine="1134"/>
        <w:jc w:val="both"/>
        <w:rPr>
          <w:color w:val="000000"/>
          <w:lang w:val="es-AR" w:eastAsia="es-AR" w:bidi="es-AR"/>
        </w:rPr>
      </w:pPr>
      <w:r>
        <w:rPr>
          <w:color w:val="000000"/>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26/05/2026 10:22:46 - DEGLEUE Roberto Manuel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26/05/2026 10:25:45 -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26/05/2026 12:30:15 - PELUSA Juan Cruz - AUXILIAR LETRADO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lang w:val="es-AR" w:eastAsia="es-AR" w:bidi="es-AR"/>
        </w:rPr>
      </w:pPr>
      <w:r>
        <w:rPr>
          <w:rFonts w:ascii="BarCode 128" w:hAnsi="BarCode 128" w:eastAsia="BarCode 128" w:cs="BarCode 128"/>
          <w:sz w:val="60"/>
          <w:lang w:val="es-AR" w:eastAsia="es-AR" w:bidi="es-AR"/>
        </w:rPr>
        <w:t xml:space="preserve">‰9H")è&amp;tbw8Š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lang w:val="es-AR" w:eastAsia="es-AR" w:bidi="es-AR"/>
        </w:rPr>
      </w:pPr>
      <w:r>
        <w:rPr>
          <w:sz w:val="20"/>
          <w:lang w:val="es-AR" w:eastAsia="es-AR" w:bidi="es-AR"/>
        </w:rPr>
        <w:t xml:space="preserve">254002090006846687</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lang w:val="es-AR" w:eastAsia="es-AR" w:bidi="es-AR"/>
        </w:rPr>
        <w:t xml:space="preserve">CAMARA DE APELACION EN LO CIVIL Y COMERCIAL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NO CONTIENE ARCHIVOS ADJUNTOS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Registrado en REGISTRO DE SENTENCIAS el 26/05/2026 12:30:33 hs. bajo el número RS-86-2026 por PELUSA JUAN.</w:t>
      </w:r>
    </w:p>
    <w:p>
      <w:pPr>
        <w:pStyle w:val="[Normal]"/>
        <w:rPr>
          <w:lang w:val="es-AR" w:eastAsia="es-AR" w:bidi="es-AR"/>
        </w:rPr>
      </w:pPr>
    </w:p>
    <w:sectPr>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3" Type="http://schemas.openxmlformats.org/officeDocument/2006/relationships/fontTable" Target="fontTable.xml"/>
	<Relationship Id="rId00004" Type="http://schemas.openxmlformats.org/officeDocument/2006/relationships/settings" Target="settings.xml"/>
</Relationships>
</file>