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5936-25</w:t>
      </w:r>
      <w:r>
        <w:rPr>
          <w:lang w:val="es-AR" w:eastAsia="es-AR" w:bidi="es-AR"/>
        </w:rPr>
        <w:t xml:space="preserve"> caratulada </w:t>
      </w:r>
      <w:r>
        <w:rPr>
          <w:b/>
          <w:lang w:val="es-AR" w:eastAsia="es-AR" w:bidi="es-AR"/>
        </w:rPr>
        <w:t xml:space="preserve">"</w:t>
      </w:r>
      <w:r>
        <w:rPr>
          <w:b/>
          <w:color w:val="000000"/>
          <w:lang w:val="es-AR" w:eastAsia="es-AR" w:bidi="es-AR"/>
        </w:rPr>
        <w:t xml:space="preserve">MELO PUERTO LAURA SAMANTA Y/O OTRO C/ TRIUNFO SEGUROS  Y OTROS S/ DAÑOS Y PERJ.AUTOM. C/LES. O MUERTE (EXC.ESTADO)</w:t>
      </w:r>
      <w:r>
        <w:rPr>
          <w:b/>
          <w:lang w:val="es-AR" w:eastAsia="es-AR" w:bidi="es-AR"/>
        </w:rPr>
        <w:t xml:space="preserve">"</w:t>
      </w:r>
      <w:r>
        <w:rPr>
          <w:lang w:val="es-AR" w:eastAsia="es-AR" w:bidi="es-AR"/>
        </w:rPr>
        <w:t xml:space="preserve">, Expte. N° 66814</w:t>
      </w:r>
      <w:r>
        <w:rPr>
          <w:color w:val="000000"/>
          <w:lang w:val="es-AR" w:eastAsia="es-AR" w:bidi="es-AR"/>
        </w:rPr>
        <w:t xml:space="preserve"> </w:t>
      </w:r>
      <w:r>
        <w:rPr>
          <w:lang w:val="es-AR" w:eastAsia="es-AR" w:bidi="es-AR"/>
        </w:rPr>
        <w:t xml:space="preserve">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instancia hizo lugar a la demanda instaurada por Laura Samanta Melo Puerto y Joaquín Bonfigli, condenando en consecuencia a Juan Domingo Vaccari y TRIUNFO SEGUROS COOP. DE SEGUROS LTDA. a abonar a la primera, la suma de PESOS CUATROCIENTOS SEIS MIL QUINIENTOS CUARENTA Y SIETE ($406.547) y, al segundo, la suma de PESOS VEINTICINCO MILLONES SETECIENTOS TREINTA Y NUEVE MIL TREINTA Y CUATRO CON 34/100 ($25.739.034,34), con más sus intereses. Aplicó las costas a la parte demandada y a la citada en garantía, que resultan vencidas. Difirió la regulación de honorarios de los letrados intervinientes y  de  los  peritos.</w:t>
      </w:r>
    </w:p>
    <w:p>
      <w:pPr>
        <w:pStyle w:val="[Normal]"/>
        <w:spacing w:line="360" w:lineRule="auto"/>
        <w:ind w:firstLine="1134"/>
        <w:jc w:val="both"/>
        <w:rPr>
          <w:lang w:val="es-AR" w:eastAsia="es-AR" w:bidi="es-AR"/>
        </w:rPr>
      </w:pPr>
      <w:r>
        <w:rPr>
          <w:lang w:val="es-AR" w:eastAsia="es-AR" w:bidi="es-AR"/>
        </w:rPr>
        <w:t xml:space="preserve">Disconforme con lo decidido, interpuso recurso de apelación el apoderado de la citada en garantía en fecha 1-12-2025, quien lo funda el 2-3-2026. Habiendo la actora contestado el traslado en fecha 5-3-2026.</w:t>
      </w:r>
    </w:p>
    <w:p>
      <w:pPr>
        <w:pStyle w:val="[Normal]"/>
        <w:spacing w:line="360" w:lineRule="auto"/>
        <w:ind w:firstLine="1134"/>
        <w:jc w:val="both"/>
        <w:rPr>
          <w:lang w:val="es-AR" w:eastAsia="es-AR" w:bidi="es-AR"/>
        </w:rPr>
      </w:pPr>
      <w:r>
        <w:rPr>
          <w:lang w:val="es-AR" w:eastAsia="es-AR" w:bidi="es-AR"/>
        </w:rPr>
        <w:t xml:space="preserve"> En fecha 10-3-2026 llamamiento de autos para sentencia, providencia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El apoderado de la citada en garantía se disgusta respecto  a la cuantificación de los daños por la incapacidad otorgada en la sentencia, en tanto entiende que el monto fijado por el a-quo no se corresponde con las pruebas rendidas, ni con los parámetros reinantes en la jurisdicción, apareciendo el mismos huérfano de todo elemento probatorio.-</w:t>
      </w:r>
    </w:p>
    <w:p>
      <w:pPr>
        <w:pStyle w:val="[Normal]"/>
        <w:spacing w:line="360" w:lineRule="auto"/>
        <w:ind w:firstLine="1134"/>
        <w:jc w:val="both"/>
        <w:rPr>
          <w:lang w:val="es-AR" w:eastAsia="es-AR" w:bidi="es-AR"/>
        </w:rPr>
      </w:pPr>
      <w:r>
        <w:rPr>
          <w:lang w:val="es-AR" w:eastAsia="es-AR" w:bidi="es-AR"/>
        </w:rPr>
        <w:t xml:space="preserve">Señala que la sentencia recurrida incurre en un grave error al determinar el monto indemnizatorio por el rubro incapacidad sobreviniente, estableciendo una suma que resulta manifiestamente excesiva, irrazonable y desproporcionada en relación con el daño efectivamente sufrido por el actor y su real afectación en la esfera económica.</w:t>
      </w:r>
    </w:p>
    <w:p>
      <w:pPr>
        <w:pStyle w:val="[Normal]"/>
        <w:spacing w:line="360" w:lineRule="auto"/>
        <w:ind w:firstLine="1134"/>
        <w:jc w:val="both"/>
        <w:rPr>
          <w:lang w:val="es-AR" w:eastAsia="es-AR" w:bidi="es-AR"/>
        </w:rPr>
      </w:pPr>
      <w:r>
        <w:rPr>
          <w:lang w:val="es-AR" w:eastAsia="es-AR" w:bidi="es-AR"/>
        </w:rPr>
        <w:t xml:space="preserve"> Expone que la sentencia no considera adecuadamente la prueba aportada en autos, que demuestra que el actor ha continuado desarrollando su actividad laboral con normalidad, sin mayores dificultades ni disminución significativa en sus ingresos.</w:t>
      </w:r>
    </w:p>
    <w:p>
      <w:pPr>
        <w:pStyle w:val="[Normal]"/>
        <w:spacing w:line="360" w:lineRule="auto"/>
        <w:ind w:firstLine="1134"/>
        <w:jc w:val="both"/>
        <w:rPr>
          <w:lang w:val="es-AR" w:eastAsia="es-AR" w:bidi="es-AR"/>
        </w:rPr>
      </w:pPr>
      <w:r>
        <w:rPr>
          <w:lang w:val="es-AR" w:eastAsia="es-AR" w:bidi="es-AR"/>
        </w:rPr>
        <w:t xml:space="preserve">Entiende que el monto indemnizatorio fijado implica un enriquecimiento indebido para el actor, quien recibirá una suma de dinero que excede ampliamente el daño realmente sufrido y que no guarda relación con la afectación que ha tenido en su vida laboral y personal.</w:t>
      </w:r>
    </w:p>
    <w:p>
      <w:pPr>
        <w:pStyle w:val="[Normal]"/>
        <w:spacing w:line="360" w:lineRule="auto"/>
        <w:ind w:firstLine="1134"/>
        <w:jc w:val="both"/>
        <w:rPr>
          <w:lang w:val="es-AR" w:eastAsia="es-AR" w:bidi="es-AR"/>
        </w:rPr>
      </w:pPr>
      <w:r>
        <w:rPr>
          <w:lang w:val="es-AR" w:eastAsia="es-AR" w:bidi="es-AR"/>
        </w:rPr>
        <w:t xml:space="preserve"> Alega que no se ha considerado el principio de razonabilidad, que exige que las indemnizaciones por daños y perjuicios sean justas y equitativas, evitando caer en excesos que puedan resultar confiscatorios o generar un enriquecimiento injustificado.</w:t>
      </w:r>
    </w:p>
    <w:p>
      <w:pPr>
        <w:pStyle w:val="[Normal]"/>
        <w:spacing w:line="360" w:lineRule="auto"/>
        <w:ind w:firstLine="1134"/>
        <w:jc w:val="both"/>
        <w:rPr>
          <w:lang w:val="es-AR" w:eastAsia="es-AR" w:bidi="es-AR"/>
        </w:rPr>
      </w:pPr>
      <w:r>
        <w:rPr>
          <w:lang w:val="es-AR" w:eastAsia="es-AR" w:bidi="es-AR"/>
        </w:rPr>
        <w:t xml:space="preserve"> Por todo lo cual solicita se revoque la sentencia apelada, con costas.</w:t>
      </w:r>
    </w:p>
    <w:p>
      <w:pPr>
        <w:pStyle w:val="[Normal]"/>
        <w:spacing w:line="360" w:lineRule="auto"/>
        <w:ind w:firstLine="1134"/>
        <w:jc w:val="both"/>
        <w:rPr>
          <w:lang w:val="es-AR" w:eastAsia="es-AR" w:bidi="es-AR"/>
        </w:rPr>
      </w:pPr>
      <w:r>
        <w:rPr>
          <w:lang w:val="es-AR" w:eastAsia="es-AR" w:bidi="es-AR"/>
        </w:rPr>
        <w:t xml:space="preserve">A su turno contestan los agravios los actores solicitando en definitiva se rechacen los mismos, confirmando la sentencia primera con costas.</w:t>
      </w:r>
    </w:p>
    <w:p>
      <w:pPr>
        <w:pStyle w:val="[Normal]"/>
        <w:spacing w:line="360" w:lineRule="auto"/>
        <w:ind w:firstLine="1134"/>
        <w:jc w:val="both"/>
        <w:rPr>
          <w:lang w:val="es-AR" w:eastAsia="es-AR" w:bidi="es-AR"/>
        </w:rPr>
      </w:pPr>
      <w:r>
        <w:rPr>
          <w:lang w:val="es-AR" w:eastAsia="es-AR" w:bidi="es-AR"/>
        </w:rPr>
        <w:t xml:space="preserve">Entrando a resolver la cuestión traída al acuerdo, advierto que el único agravio expresado por el apelante lo centra en la cuantificación del rubro incapacidad sobreviniente, el cual adelanto que no ha de prosperar.</w:t>
      </w:r>
    </w:p>
    <w:p>
      <w:pPr>
        <w:pStyle w:val="[Normal]"/>
        <w:spacing w:line="360" w:lineRule="auto"/>
        <w:ind w:firstLine="1134"/>
        <w:jc w:val="both"/>
        <w:rPr>
          <w:lang w:val="es-AR" w:eastAsia="es-AR" w:bidi="es-AR"/>
        </w:rPr>
      </w:pPr>
      <w:r>
        <w:rPr>
          <w:lang w:val="es-AR" w:eastAsia="es-AR" w:bidi="es-AR"/>
        </w:rPr>
        <w:t xml:space="preserve">Es que, el recurrente se limita a expresar su disconformidad con el monto fijado en la sentencia, al que tilda de excesivo, irrazonable y carente de sustento probatorio, con el argumento de que la parte actora habría continuado desarrollando su actividad laboral sin mayores dificultades. Sin embargo, tales afirmaciones no alcanzan para desvirtuar la fundamentación del pronunciamiento apelado, ni para demostrar un apartamiento patente de las constancias de la causa.</w:t>
      </w:r>
    </w:p>
    <w:p>
      <w:pPr>
        <w:pStyle w:val="[Normal]"/>
        <w:spacing w:line="360" w:lineRule="auto"/>
        <w:ind w:firstLine="1134"/>
        <w:jc w:val="both"/>
        <w:rPr>
          <w:lang w:val="es-AR" w:eastAsia="es-AR" w:bidi="es-AR"/>
        </w:rPr>
      </w:pPr>
      <w:r>
        <w:rPr>
          <w:lang w:val="es-AR" w:eastAsia="es-AR" w:bidi="es-AR"/>
        </w:rPr>
        <w:t xml:space="preserve">Cabe recordar que la determinación del resarcimiento por incapacidad sobreviniente no depende exclusivamente de la existencia de una merma inmediata y visible en los ingresos de la persona damnificada, sino de la incidencia que las lesiones producen en su capacidad vital y productiva en sentido amplio, con aptitud para proyectarse sobre su vida laboral, social y cotidiana. Por ello, la sola alegación de que la persona actora continuó trabajando no basta, por sí misma, para excluir o reducir el daño incapacitante.</w:t>
      </w:r>
    </w:p>
    <w:p>
      <w:pPr>
        <w:pStyle w:val="[Normal]"/>
        <w:spacing w:line="360" w:lineRule="auto"/>
        <w:ind w:firstLine="1134"/>
        <w:jc w:val="both"/>
        <w:rPr>
          <w:lang w:val="es-AR" w:eastAsia="es-AR" w:bidi="es-AR"/>
        </w:rPr>
      </w:pPr>
      <w:r>
        <w:rPr>
          <w:lang w:val="es-AR" w:eastAsia="es-AR" w:bidi="es-AR"/>
        </w:rPr>
        <w:t xml:space="preserve">El a quo ha meritado correctamente la indemnización en base a prueba sólida y contundente acerca de la incapacidad que le quedara al actor - las cuales no han sido oportunamente controvertidas por el apelante, tales como el informe medico del Dr. Tagliaferro (perito médico designado en autos y cuyo dictamen se agregara mediante presentación electrónica de fecha 31/7/2025), la edad de la víctima, los ingresos esperados y todo ello volcado en una "planilla de cálculo de la fórmula de renta constante", aspectos todos sobre los que el apelante solo expresa su disgusto pero en concreto los motivos de tal postura nada de nada.</w:t>
      </w:r>
    </w:p>
    <w:p>
      <w:pPr>
        <w:pStyle w:val="[Normal]"/>
        <w:spacing w:line="360" w:lineRule="auto"/>
        <w:ind w:firstLine="1134"/>
        <w:jc w:val="both"/>
        <w:rPr>
          <w:lang w:val="es-AR" w:eastAsia="es-AR" w:bidi="es-AR"/>
        </w:rPr>
      </w:pPr>
      <w:r>
        <w:rPr>
          <w:lang w:val="es-AR" w:eastAsia="es-AR" w:bidi="es-AR"/>
        </w:rPr>
        <w:t xml:space="preserve">Tampoco se advierte configurado el supuesto de enriquecimiento sin causa que invoca la apelante. La indemnización fijada no importa un beneficio indebido, sino la traducción económica del menoscabo padecido, dentro del marco de apreciación prudencial que corresponde al juzgador de grado cuando valora la prueba producida y fija una reparación razonable conforme a las particularidades del caso.</w:t>
      </w:r>
    </w:p>
    <w:p>
      <w:pPr>
        <w:pStyle w:val="[Normal]"/>
        <w:spacing w:line="360" w:lineRule="auto"/>
        <w:ind w:firstLine="1134"/>
        <w:jc w:val="both"/>
        <w:rPr>
          <w:lang w:val="es-AR" w:eastAsia="es-AR" w:bidi="es-AR"/>
        </w:rPr>
      </w:pPr>
      <w:r>
        <w:rPr>
          <w:lang w:val="es-AR" w:eastAsia="es-AR" w:bidi="es-AR"/>
        </w:rPr>
        <w:t xml:space="preserve">En definitiva, el planteo ensayado revela una mera discrepancia con la ponderación judicial realizada, pero no logra evidenciar error de apreciación, arbitrariedad ni violación del principio de razonabilidad. Por ello, corresponde rechazar el agravio y confirmar lo decidido, con costas.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w:t>
      </w:r>
      <w:r>
        <w:rPr>
          <w:color w:val="0000FF"/>
          <w:lang w:val="es-AR" w:eastAsia="es-AR" w:bidi="es-AR"/>
        </w:rPr>
        <w:t xml:space="preserve"> </w:t>
      </w:r>
      <w:r>
        <w:rPr>
          <w:lang w:val="es-AR" w:eastAsia="es-AR" w:bidi="es-AR"/>
        </w:rPr>
        <w:t xml:space="preserve">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por el apoderado de la citada en garantía y en su mérito confirmar la sentencia primera en todas sus partes, con costas al apelante que resulta vencido (Art. 68 del C.P.C.y C.).</w:t>
      </w:r>
    </w:p>
    <w:p>
      <w:pPr>
        <w:pStyle w:val="[Normal]"/>
        <w:spacing w:line="360" w:lineRule="auto"/>
        <w:ind w:firstLine="1134"/>
        <w:jc w:val="both"/>
        <w:rPr>
          <w:lang w:val="es-AR" w:eastAsia="es-AR" w:bidi="es-AR"/>
        </w:rPr>
      </w:pPr>
      <w:r>
        <w:rPr>
          <w:lang w:val="es-AR" w:eastAsia="es-AR" w:bidi="es-AR"/>
        </w:rPr>
        <w:t xml:space="preserve">Diferir la regulación de los honorarios profesionales para su oportunidad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interpuesto por el apoderado de la citada en garantía y en su mérito confirmar la sentencia primera en todas sus partes, con costas al apelante que resulta vencido (Art. 68 del C.P.C.y C.).</w:t>
      </w:r>
    </w:p>
    <w:p>
      <w:pPr>
        <w:pStyle w:val="[Normal]"/>
        <w:spacing w:line="360" w:lineRule="auto"/>
        <w:ind w:firstLine="1134"/>
        <w:jc w:val="both"/>
        <w:rPr>
          <w:lang w:val="es-AR" w:eastAsia="es-AR" w:bidi="es-AR"/>
        </w:rPr>
      </w:pPr>
      <w:r>
        <w:rPr>
          <w:lang w:val="es-AR" w:eastAsia="es-AR" w:bidi="es-AR"/>
        </w:rPr>
        <w:t xml:space="preserve">Diferir la regulación de los honorarios profesionales para su oportunidad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21/05/2026 10:25:53 -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21/05/2026 11:22:56 -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21/05/2026 11:45:21 -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‰81")è&amp;vi&amp;GŠ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241702090006867306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21/05/2026 11:45:42 hs. bajo el número RS-83-2026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