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5997-26</w:t>
      </w:r>
      <w:r>
        <w:rPr>
          <w:lang w:val="es-AR" w:eastAsia="es-AR" w:bidi="es-AR"/>
        </w:rPr>
        <w:t xml:space="preserve"> caratulada </w:t>
      </w:r>
      <w:r>
        <w:rPr>
          <w:b/>
          <w:lang w:val="es-AR" w:eastAsia="es-AR" w:bidi="es-AR"/>
        </w:rPr>
        <w:t xml:space="preserve">"</w:t>
      </w:r>
      <w:r>
        <w:rPr>
          <w:b/>
          <w:color w:val="000000"/>
          <w:lang w:val="es-AR" w:eastAsia="es-AR" w:bidi="es-AR"/>
        </w:rPr>
        <w:t xml:space="preserve">ALZOGARAY LUIS ANTONIO C/ BOUDOUX GASTON Y OTROS S/ DAÑOS Y PERJ.AUTOM. C/LES. O MUERTE (EXC.ESTADO)</w:t>
      </w:r>
      <w:r>
        <w:rPr>
          <w:b/>
          <w:lang w:val="es-AR" w:eastAsia="es-AR" w:bidi="es-AR"/>
        </w:rPr>
        <w:t xml:space="preserve">"</w:t>
      </w:r>
      <w:r>
        <w:rPr>
          <w:lang w:val="es-AR" w:eastAsia="es-AR" w:bidi="es-AR"/>
        </w:rPr>
        <w:t xml:space="preserve">, Expte. N° 76188</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incoada por daños y perjuicios contra el Sr. Gastón Boudoux, la Sra. Marcela Carrizo y contra la citada en garantía Río Uruguay Seguros Cooperativa Limitada. Aplicó las costas a la parte actora vencida y difirió la regulación de honorarios de los letrados intervinientes y de los peritos.</w:t>
      </w:r>
    </w:p>
    <w:p>
      <w:pPr>
        <w:pStyle w:val="[Normal]"/>
        <w:spacing w:line="360" w:lineRule="auto"/>
        <w:ind w:firstLine="1134"/>
        <w:jc w:val="both"/>
        <w:rPr>
          <w:lang w:val="es-AR" w:eastAsia="es-AR" w:bidi="es-AR"/>
        </w:rPr>
      </w:pPr>
      <w:r>
        <w:rPr>
          <w:lang w:val="es-AR" w:eastAsia="es-AR" w:bidi="es-AR"/>
        </w:rPr>
        <w:t xml:space="preserve">Disconforme con lo resuelto apela la parte actora el 10/2/2026, recurso concedido libremente el 20/2/2026.</w:t>
      </w:r>
    </w:p>
    <w:p>
      <w:pPr>
        <w:pStyle w:val="[Normal]"/>
        <w:spacing w:line="360" w:lineRule="auto"/>
        <w:ind w:firstLine="1134"/>
        <w:jc w:val="both"/>
        <w:rPr>
          <w:lang w:val="es-AR" w:eastAsia="es-AR" w:bidi="es-AR"/>
        </w:rPr>
      </w:pPr>
      <w:r>
        <w:rPr>
          <w:lang w:val="es-AR" w:eastAsia="es-AR" w:bidi="es-AR"/>
        </w:rPr>
        <w:t xml:space="preserve">Ingresados los autos a este organismo, el 23/2/2026 se ordena expresar agravios a la parte actora el 3/3/2026, dando cumplimiento el 10/3/2026, habiendo la contraria contestado el traslado conferido el 17/3/2026. En fecha 19/3/2026 se dicta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la recurrente de que el a quo haya desestimado íntegramente la demanda incoada, calificando la sentencia de arbitraria por entender que incurre en una errónea valoración de la prueba producida y en una incorrecta aplicación del derecho vigente, exonerando de responsabilidad al conductor del automotor demandado.</w:t>
      </w:r>
    </w:p>
    <w:p>
      <w:pPr>
        <w:pStyle w:val="[Normal]"/>
        <w:spacing w:line="360" w:lineRule="auto"/>
        <w:ind w:firstLine="1134"/>
        <w:jc w:val="both"/>
        <w:rPr>
          <w:lang w:val="es-AR" w:eastAsia="es-AR" w:bidi="es-AR"/>
        </w:rPr>
      </w:pPr>
      <w:r>
        <w:rPr>
          <w:lang w:val="es-AR" w:eastAsia="es-AR" w:bidi="es-AR"/>
        </w:rPr>
        <w:t xml:space="preserve">Sucintamente habré de efectuar un detalle de los agravios expuestos en el escrito de fecha 10/3/2026, al cual me remito en honor a la brevedad.</w:t>
      </w:r>
    </w:p>
    <w:p>
      <w:pPr>
        <w:pStyle w:val="[Normal]"/>
        <w:spacing w:line="360" w:lineRule="auto"/>
        <w:ind w:firstLine="1134"/>
        <w:jc w:val="both"/>
        <w:rPr>
          <w:lang w:val="es-AR" w:eastAsia="es-AR" w:bidi="es-AR"/>
        </w:rPr>
      </w:pPr>
      <w:r>
        <w:rPr>
          <w:lang w:val="es-AR" w:eastAsia="es-AR" w:bidi="es-AR"/>
        </w:rPr>
        <w:t xml:space="preserve">En primer término, cuestiona la interpretación efectuada respecto de la normativa de tránsito aplicable al giro a la izquierda. Señala que el sentenciante consideró inaplicable al caso la prohibición prevista en el art. 44 inc. f de la Ley 24.449, en razón del particular funcionamiento del sistema semafórico existente en la intersección de Ruta Nacional N° 8 y calle Trincavelli, conclusión que reputa jurídicamente improcedente.</w:t>
      </w:r>
    </w:p>
    <w:p>
      <w:pPr>
        <w:pStyle w:val="[Normal]"/>
        <w:spacing w:line="360" w:lineRule="auto"/>
        <w:ind w:firstLine="1134"/>
        <w:jc w:val="both"/>
        <w:rPr>
          <w:lang w:val="es-AR" w:eastAsia="es-AR" w:bidi="es-AR"/>
        </w:rPr>
      </w:pPr>
      <w:r>
        <w:rPr>
          <w:lang w:val="es-AR" w:eastAsia="es-AR" w:bidi="es-AR"/>
        </w:rPr>
        <w:t xml:space="preserve">Afirma que la citada norma establece que en vías de doble circulación no debe girarse a la izquierda, salvo señal que expresamente lo permita, requiriéndose para ello una señalización clara y específica que habilite dicha maniobra. Destaca que de la pericia mecánica surge que no existía señal lumínica con flecha habilitante para efectuar el giro, circunstancia expresamente aclarada por el experto interviniente. Refiere que la sentencia prescinde de tal extremo objetivo y sustituye la norma legal por una interpretación personal basada en una supuesta lógica del sistema semafórico.</w:t>
      </w:r>
    </w:p>
    <w:p>
      <w:pPr>
        <w:pStyle w:val="[Normal]"/>
        <w:spacing w:line="360" w:lineRule="auto"/>
        <w:ind w:firstLine="1134"/>
        <w:jc w:val="both"/>
        <w:rPr>
          <w:lang w:val="es-AR" w:eastAsia="es-AR" w:bidi="es-AR"/>
        </w:rPr>
      </w:pPr>
      <w:r>
        <w:rPr>
          <w:lang w:val="es-AR" w:eastAsia="es-AR" w:bidi="es-AR"/>
        </w:rPr>
        <w:t xml:space="preserve">En segundo término, insiste en que la maniobra de giro a la izquierda ejecutada por el demandado resultó antirreglamentaria, desde que no existía señal lumínica que la habilitara. Sostiene que el fallo descarta indebidamente la infracción al art. 44 inc. f de la Ley Nacional de Tránsito N° 24.449, apartándose de las constancias objetivas de la causa e incurriendo en un error de derecho.</w:t>
      </w:r>
    </w:p>
    <w:p>
      <w:pPr>
        <w:pStyle w:val="[Normal]"/>
        <w:spacing w:line="360" w:lineRule="auto"/>
        <w:ind w:firstLine="1134"/>
        <w:jc w:val="both"/>
        <w:rPr>
          <w:lang w:val="es-AR" w:eastAsia="es-AR" w:bidi="es-AR"/>
        </w:rPr>
      </w:pPr>
      <w:r>
        <w:rPr>
          <w:lang w:val="es-AR" w:eastAsia="es-AR" w:bidi="es-AR"/>
        </w:rPr>
        <w:t xml:space="preserve">Seguidamente, cuestiona la atribución de previsibilidad efectuada por el magistrado de grado respecto de la maniobra desplegada por el demandado. Señala que la sentencia sostiene que el actor debía prever que el vehículo que circulaba delante suyo podía girar hacia la izquierda al arribar a la intersección con calle Trincavelli, razonamiento que considera improcedente, por cuanto no puede exigirse al conductor que circula reglamentariamente anticipar una maniobra prohibida por la normativa de tránsito.</w:t>
      </w:r>
    </w:p>
    <w:p>
      <w:pPr>
        <w:pStyle w:val="[Normal]"/>
        <w:spacing w:line="360" w:lineRule="auto"/>
        <w:ind w:firstLine="1134"/>
        <w:jc w:val="both"/>
        <w:rPr>
          <w:lang w:val="es-AR" w:eastAsia="es-AR" w:bidi="es-AR"/>
        </w:rPr>
      </w:pPr>
      <w:r>
        <w:rPr>
          <w:lang w:val="es-AR" w:eastAsia="es-AR" w:bidi="es-AR"/>
        </w:rPr>
        <w:t xml:space="preserve">Asimismo, objeta la valoración de la pericia mecánica efectuada en la sentencia. Expone que el fallo atribuye responsabilidad al actor por no haber mantenido una distancia prudencial respecto del vehículo precedente y no haber logrado frenar a tiempo, pese a que -según sostiene- dicha conclusión no encuentra respaldo en la prueba producida.</w:t>
      </w:r>
    </w:p>
    <w:p>
      <w:pPr>
        <w:pStyle w:val="[Normal]"/>
        <w:spacing w:line="360" w:lineRule="auto"/>
        <w:ind w:firstLine="1134"/>
        <w:jc w:val="both"/>
        <w:rPr>
          <w:lang w:val="es-AR" w:eastAsia="es-AR" w:bidi="es-AR"/>
        </w:rPr>
      </w:pPr>
      <w:r>
        <w:rPr>
          <w:lang w:val="es-AR" w:eastAsia="es-AR" w:bidi="es-AR"/>
        </w:rPr>
        <w:t xml:space="preserve">Afirma que la pericia resulta compatible con la hipótesis postulada en la demanda, consistente en que el automóvil demandado inició una maniobra de giro a la izquierda atravesando la trayectoria de la motocicleta, en infracción a la ley de tránsito. Añade que la localización de los daños, entre el sector frontal de la motocicleta y el lateral trasero del automóvil, evidenciaría que el rodado demandado invadió la línea de circulación del actor al momento del impacto, citando jurisprudencia que reputa típica dicha configuración en supuestos de giro antirreglamentario.</w:t>
      </w:r>
    </w:p>
    <w:p>
      <w:pPr>
        <w:pStyle w:val="[Normal]"/>
        <w:spacing w:line="360" w:lineRule="auto"/>
        <w:ind w:firstLine="1134"/>
        <w:jc w:val="both"/>
        <w:rPr>
          <w:lang w:val="es-AR" w:eastAsia="es-AR" w:bidi="es-AR"/>
        </w:rPr>
      </w:pPr>
      <w:r>
        <w:rPr>
          <w:lang w:val="es-AR" w:eastAsia="es-AR" w:bidi="es-AR"/>
        </w:rPr>
        <w:t xml:space="preserve">Cuestiona también la aplicación efectuada del régimen de responsabilidad objetiva. Señala que, si bien la sentencia reconoce que el caso se encuentra regido por los arts. 1757, 1758 y 1769 del Código Civil y Comercial, igualmente exonera de responsabilidad al conductor demandado sin que a su entender se haya acreditado causal eximente válida, citando jurisprudencia en apoyo de su postura.</w:t>
      </w:r>
    </w:p>
    <w:p>
      <w:pPr>
        <w:pStyle w:val="[Normal]"/>
        <w:spacing w:line="360" w:lineRule="auto"/>
        <w:ind w:firstLine="1134"/>
        <w:jc w:val="both"/>
        <w:rPr>
          <w:lang w:val="es-AR" w:eastAsia="es-AR" w:bidi="es-AR"/>
        </w:rPr>
      </w:pPr>
      <w:r>
        <w:rPr>
          <w:lang w:val="es-AR" w:eastAsia="es-AR" w:bidi="es-AR"/>
        </w:rPr>
        <w:t xml:space="preserve">Finalmente, se agravia de la atribución de culpa exclusiva a la víctima, por considerar que dicha conclusión carece de sustento en las constancias probatorias incorporadas al proceso. Refiere que quien ejecuta una maniobra de giro a la izquierda debe cerciorarse previamente de que la vía se encuentra libre de tránsito, asumiendo en caso contrario el riesgo de interferir en la trayectoria de quienes circulan por ella.</w:t>
      </w:r>
    </w:p>
    <w:p>
      <w:pPr>
        <w:pStyle w:val="[Normal]"/>
        <w:spacing w:line="360" w:lineRule="auto"/>
        <w:ind w:firstLine="1134"/>
        <w:jc w:val="both"/>
        <w:rPr>
          <w:lang w:val="es-AR" w:eastAsia="es-AR" w:bidi="es-AR"/>
        </w:rPr>
      </w:pPr>
      <w:r>
        <w:rPr>
          <w:lang w:val="es-AR" w:eastAsia="es-AR" w:bidi="es-AR"/>
        </w:rPr>
        <w:t xml:space="preserve">En consecuencia, sostiene que la atribución de culpa exclusiva al actor resulta arbitraria y contraria a las constancias objetivas de la causa, solicitando se revoque la sentencia recurrida y se haga lugar a la demanda promovida, con costas.</w:t>
      </w:r>
    </w:p>
    <w:p>
      <w:pPr>
        <w:pStyle w:val="[Normal]"/>
        <w:spacing w:line="360" w:lineRule="auto"/>
        <w:ind w:firstLine="1134"/>
        <w:jc w:val="both"/>
        <w:rPr>
          <w:lang w:val="es-AR" w:eastAsia="es-AR" w:bidi="es-AR"/>
        </w:rPr>
      </w:pPr>
      <w:r>
        <w:rPr>
          <w:lang w:val="es-AR" w:eastAsia="es-AR" w:bidi="es-AR"/>
        </w:rPr>
        <w:t xml:space="preserve">A su turno la citada en garantía contesta los agravios rebatiendo los mismos, y solicita en definitiva el rechazo de la apelación y la confirmación de la sentencia , con costas.</w:t>
      </w:r>
    </w:p>
    <w:p>
      <w:pPr>
        <w:pStyle w:val="[Normal]"/>
        <w:spacing w:line="360" w:lineRule="auto"/>
        <w:ind w:firstLine="1134"/>
        <w:jc w:val="both"/>
        <w:rPr>
          <w:lang w:val="es-AR" w:eastAsia="es-AR" w:bidi="es-AR"/>
        </w:rPr>
      </w:pPr>
      <w:r>
        <w:rPr>
          <w:lang w:val="es-AR" w:eastAsia="es-AR" w:bidi="es-AR"/>
        </w:rPr>
        <w:t xml:space="preserve">Entrando a resolver y sin perjuicio de que la recurrente ha identificado varios puntos de agravios, lo cierto es que y luego de haber hecho una detallada leída de todos ellos, entiendo que el disgusto se centra en la atribución de responsabilidad exclusiva a su parte, por errónea valoración de la prueba, lo cual y adelantando opinión al respecto no es así, por lo que he de coincidir con lo decidido por el a quo.</w:t>
      </w:r>
    </w:p>
    <w:p>
      <w:pPr>
        <w:pStyle w:val="[Normal]"/>
        <w:spacing w:line="360" w:lineRule="auto"/>
        <w:ind w:firstLine="1134"/>
        <w:jc w:val="both"/>
        <w:rPr>
          <w:lang w:val="es-AR" w:eastAsia="es-AR" w:bidi="es-AR"/>
        </w:rPr>
      </w:pPr>
      <w:r>
        <w:rPr>
          <w:lang w:val="es-AR" w:eastAsia="es-AR" w:bidi="es-AR"/>
        </w:rPr>
        <w:t xml:space="preserve">Como claramente lo ha destacado el sentenciante  "..</w:t>
      </w:r>
      <w:r>
        <w:rPr>
          <w:i/>
          <w:lang w:val="es-AR" w:eastAsia="es-AR" w:bidi="es-AR"/>
        </w:rPr>
        <w:t xml:space="preserve">.no existe controversia entre las partes en cuanto a la circunstancia de tiempo y lugar, coincidiendo asimismo en lo que respecta al rodados intervinientes en el accidente, el sentido de circulación de los mismos y quienes eran sus conductores (Cfr. doctrina art. 358 del C.P.C.)</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Así es que la sentencia recurrida tuvo por acreditado que el día 07 de febrero de 2021, aproximadamente a las 17 horas, el actor circulaba conduciendo una motocicleta Corven  dominio A075MSN por Ruta 8 (Av. Aquileo Bucar), sentido Sur-Norte. Que, el Sr. Gastón Boudoux circulaba por delante del actor, en su mismo sentido de circulación y al mando el automóvil Renault Clio dominio END-517. Al llegar a la intersección con la calle Trincavelli, existiendo un semáforo, que en la oportunidad estaba en verde para continuar la marcha de los vehículos que circulaban por Av. Aquileo Bucar sentido de circulación Sur-Norte,  el demandado inició una maniobra de giro hacia la izquierda con intención de tomar esa arteria, produciéndose en ese instante la colisión: la parte frontal de la motocicleta del actor impactó contra el sector lateral izquierdo trasero del automóvil del demandado.</w:t>
      </w:r>
    </w:p>
    <w:p>
      <w:pPr>
        <w:pStyle w:val="[Normal]"/>
        <w:spacing w:line="360" w:lineRule="auto"/>
        <w:ind w:firstLine="1134"/>
        <w:jc w:val="both"/>
        <w:rPr>
          <w:lang w:val="es-AR" w:eastAsia="es-AR" w:bidi="es-AR"/>
        </w:rPr>
      </w:pPr>
      <w:r>
        <w:rPr>
          <w:lang w:val="es-AR" w:eastAsia="es-AR" w:bidi="es-AR"/>
        </w:rPr>
        <w:t xml:space="preserve">El juez de grado concluyó que: a) la prohibición de girar a la izquierda prevista en el art. 44 inc. f de la Ley 24.449 no resultaba aplicable al caso, en virtud del particular funcionamiento alternado del sistema semafórico de dicha intersección; b) la causa adecuada del accidente fue la conducción negligente del propio actor, quien no respetó la distancia de seguridad, circuló por el centro de la calzada y no ejecutó maniobra evasiva alguna; y c) dicha conducta del actor constituyó culpa de la víctima que interrumpió totalmente el nexo causal, eximiendo de responsabilidad a los demandados (arts. 1729 y cc. del C.C.C.N.).</w:t>
      </w:r>
    </w:p>
    <w:p>
      <w:pPr>
        <w:pStyle w:val="[Normal]"/>
        <w:spacing w:line="360" w:lineRule="auto"/>
        <w:ind w:firstLine="1134"/>
        <w:jc w:val="both"/>
        <w:rPr>
          <w:lang w:val="es-AR" w:eastAsia="es-AR" w:bidi="es-AR"/>
        </w:rPr>
      </w:pPr>
      <w:r>
        <w:rPr>
          <w:lang w:val="es-AR" w:eastAsia="es-AR" w:bidi="es-AR"/>
        </w:rPr>
        <w:t xml:space="preserve">Sobre la interpretación de la normativa de tránsito, entiendo que el primer y segundo agravio del recurrente giran en torno a la aplicación de la prohibición de giro a la izquierda en vías de doble mano (art. 44 inc. f, Ley 24.449 por adhesión art. 1 Ley 13.927, "Nuevo Código de Tránsito de la Pcia. de Buenos Aires), sosteniendo que la ausencia de flecha verde habilitante en el semáforo tornaba antirreglamentaria la maniobra del demandado, no habrá de prosperar.</w:t>
      </w:r>
    </w:p>
    <w:p>
      <w:pPr>
        <w:pStyle w:val="[Normal]"/>
        <w:spacing w:line="360" w:lineRule="auto"/>
        <w:ind w:firstLine="1134"/>
        <w:jc w:val="both"/>
        <w:rPr>
          <w:lang w:val="es-AR" w:eastAsia="es-AR" w:bidi="es-AR"/>
        </w:rPr>
      </w:pPr>
      <w:r>
        <w:rPr>
          <w:lang w:val="es-AR" w:eastAsia="es-AR" w:bidi="es-AR"/>
        </w:rPr>
        <w:t xml:space="preserve">El mencionado artículo establece que en las arterias semaforizadas</w:t>
      </w:r>
      <w:r>
        <w:rPr>
          <w:i/>
          <w:lang w:val="es-AR" w:eastAsia="es-AR" w:bidi="es-AR"/>
        </w:rPr>
        <w:t xml:space="preserve"> "...  de doble mano no se debe girar a la izquierda salvo señal que lo permita</w:t>
      </w:r>
      <w:r>
        <w:rPr>
          <w:lang w:val="es-AR" w:eastAsia="es-AR" w:bidi="es-AR"/>
        </w:rPr>
        <w:t xml:space="preserve">", norma que  tiene como propósito la colisión frontal entre quien gira y los vehículos que circulan en sentido opuesto por el mismo carril. Es una norma de seguridad cuyo espíritu es proteger el flujo vehicular frente al riesgo de enfrentamiento entre vías de tránsito que se desplazan en sentidos contrarios.</w:t>
      </w:r>
    </w:p>
    <w:p>
      <w:pPr>
        <w:pStyle w:val="[Normal]"/>
        <w:spacing w:line="360" w:lineRule="auto"/>
        <w:ind w:firstLine="1134"/>
        <w:jc w:val="both"/>
        <w:rPr>
          <w:lang w:val="es-AR" w:eastAsia="es-AR" w:bidi="es-AR"/>
        </w:rPr>
      </w:pPr>
      <w:r>
        <w:rPr>
          <w:lang w:val="es-AR" w:eastAsia="es-AR" w:bidi="es-AR"/>
        </w:rPr>
        <w:t xml:space="preserve">En el caso bajo análisis, la intersección de la Av. Bucar  (Ruta Nac. 8) y la calle Trincavelli presenta una configuración particular -geométrica y semafórica- que altera sustancialmente el presupuesto de hecho que la norma pretende conjurar. En primer lugar, la intersección conforma una "T", de modo que la calle transversal no tiene continuación al otro lado de la avenida. En segundo lugar -y esto es determinante-, el sistema de semáforos allí existente opera mediante paso alternado de una posición verde por vez en cada carril. Ello significa que cuando el semáforo habilita el avance de los vehículos que circulan por la Av. Buccar en sentido Sur-Norte (como lo hacían el actor y el demandado), el tránsito en sentido Norte-Sur y el proveniente de la calle Trincavelli se encuentran detenidos por imperativo de la señal en rojo, tal como lo detalla el análisis efectuado por el a quo respecto al funcionamiento del sistema que entiendo impecable</w:t>
      </w:r>
    </w:p>
    <w:p>
      <w:pPr>
        <w:pStyle w:val="[Normal]"/>
        <w:spacing w:line="360" w:lineRule="auto"/>
        <w:ind w:firstLine="1134"/>
        <w:jc w:val="both"/>
        <w:rPr>
          <w:lang w:val="es-AR" w:eastAsia="es-AR" w:bidi="es-AR"/>
        </w:rPr>
      </w:pPr>
      <w:r>
        <w:rPr>
          <w:lang w:val="es-AR" w:eastAsia="es-AR" w:bidi="es-AR"/>
        </w:rPr>
        <w:t xml:space="preserve">Esta circunstancia fue corroborada por la ampliación de la pericia mecánica (presentación electrónica del 15/2/2022) y por el informe de Vialidad Nacional agregado en fecha 17/04/24, cuya secuencia fue descripta en el proceso. El perito aclaró que su afirmación sobre la habilitación del giro respondía a su interpretación del paso alternado, precisando que no existía flecha lumínica específica para el giro a la izquierda al momento que se apersonó al lugar, sin que ello altere la situación vigente al momento del accidente.</w:t>
      </w:r>
    </w:p>
    <w:p>
      <w:pPr>
        <w:pStyle w:val="[Normal]"/>
        <w:spacing w:line="360" w:lineRule="auto"/>
        <w:ind w:firstLine="1134"/>
        <w:jc w:val="both"/>
        <w:rPr>
          <w:lang w:val="es-AR" w:eastAsia="es-AR" w:bidi="es-AR"/>
        </w:rPr>
      </w:pPr>
      <w:r>
        <w:rPr>
          <w:lang w:val="es-AR" w:eastAsia="es-AR" w:bidi="es-AR"/>
        </w:rPr>
        <w:t xml:space="preserve">Sobre estas bases, comparto el razonamiento del juez de primera instancia. La prohibición del art. 44 inc. f de la Ley 24.449 presupone la existencia de tránsito circulando en sentido contrario, que es precisamente el riesgo que la norma busca neutralizar. Cuando el sistema de fases semafóricas garantiza que no existe vehículo alguno que circule en sentido opuesto -porque todos se encuentran detenidos por la señal roja-, la razón de la prohibición se desvanece. Sostener lo contrario importaría convertir a la norma en un ritualismo formal divorciado de su finalidad protectora, tornando ilícita una maniobra que, en el contexto concreto, no generaba el riesgo que el legislador tuvo en vista al establecerla.</w:t>
      </w:r>
    </w:p>
    <w:p>
      <w:pPr>
        <w:pStyle w:val="[Normal]"/>
        <w:spacing w:line="360" w:lineRule="auto"/>
        <w:ind w:firstLine="1134"/>
        <w:jc w:val="both"/>
        <w:rPr>
          <w:lang w:val="es-AR" w:eastAsia="es-AR" w:bidi="es-AR"/>
        </w:rPr>
      </w:pPr>
      <w:r>
        <w:rPr>
          <w:lang w:val="es-AR" w:eastAsia="es-AR" w:bidi="es-AR"/>
        </w:rPr>
        <w:t xml:space="preserve">La interpretación que permite analizar las normas atendiendo a su finalidad y a su integración dentro del conjunto del sistema legal es un modo de interpretar la ley plenamente admitido en nuestro ordenamiento jurídico (art. 2 del Código Civ. y Com.), y resulta especialmente apropiada en materia de normas de tránsito, donde la realidad de cada intersección puede diferir notablemente de la situación genérica contemplada por el legislador. No se trata de ignorar la ley, sino de aplicarla racionalmente a las circunstancias del caso.</w:t>
      </w:r>
    </w:p>
    <w:p>
      <w:pPr>
        <w:pStyle w:val="[Normal]"/>
        <w:spacing w:line="360" w:lineRule="auto"/>
        <w:ind w:firstLine="1134"/>
        <w:jc w:val="both"/>
        <w:rPr>
          <w:lang w:val="es-AR" w:eastAsia="es-AR" w:bidi="es-AR"/>
        </w:rPr>
      </w:pPr>
      <w:r>
        <w:rPr>
          <w:lang w:val="es-AR" w:eastAsia="es-AR" w:bidi="es-AR"/>
        </w:rPr>
        <w:t xml:space="preserve">En consecuencia, corresponde confirmar el criterio del juez de grado en cuanto consideró que la prohibición del art. 44 inc. f de la Ley 24.449 no resultaba aplicable al caso en concreto, y que la maniobra de giro a la izquierda del demandado, ejecutada durante la fase verde del semáforo para ese carril y sin tránsito opuesto habilitado para circular, no configuró una conducta antijurídica.</w:t>
      </w:r>
    </w:p>
    <w:p>
      <w:pPr>
        <w:pStyle w:val="[Normal]"/>
        <w:spacing w:line="360" w:lineRule="auto"/>
        <w:ind w:firstLine="1134"/>
        <w:jc w:val="both"/>
        <w:rPr>
          <w:lang w:val="es-AR" w:eastAsia="es-AR" w:bidi="es-AR"/>
        </w:rPr>
      </w:pPr>
      <w:r>
        <w:rPr>
          <w:lang w:val="es-AR" w:eastAsia="es-AR" w:bidi="es-AR"/>
        </w:rPr>
        <w:t xml:space="preserve">El tercer agravio cuestiona que la sentencia haya exigido al actor prever la maniobra de giro del vehículo que lo precedía. El apelante invoca el "principio de confianza" para sostener que no debía anticipar una maniobra que reputaba antirreglamentaria. Este agravio tampoco puede prosperar, por dos razones:</w:t>
      </w:r>
    </w:p>
    <w:p>
      <w:pPr>
        <w:pStyle w:val="[Normal]"/>
        <w:spacing w:line="360" w:lineRule="auto"/>
        <w:ind w:firstLine="1134"/>
        <w:jc w:val="both"/>
        <w:rPr>
          <w:lang w:val="es-AR" w:eastAsia="es-AR" w:bidi="es-AR"/>
        </w:rPr>
      </w:pPr>
      <w:r>
        <w:rPr>
          <w:lang w:val="es-AR" w:eastAsia="es-AR" w:bidi="es-AR"/>
        </w:rPr>
        <w:t xml:space="preserve">En primer lugar, tal como se analizó precedentemente, la maniobra de giro del demandado no era antirreglamentaria en las circunstancias del caso. Por ende, el principio de confianza -que permite a un conductor asumir que los demás respetarán las normas de tránsito- no ampara al actor para ignorar una maniobra que era fácticamente posible y lícita.</w:t>
      </w:r>
    </w:p>
    <w:p>
      <w:pPr>
        <w:pStyle w:val="[Normal]"/>
        <w:spacing w:line="360" w:lineRule="auto"/>
        <w:ind w:firstLine="1134"/>
        <w:jc w:val="both"/>
        <w:rPr>
          <w:lang w:val="es-AR" w:eastAsia="es-AR" w:bidi="es-AR"/>
        </w:rPr>
      </w:pPr>
      <w:r>
        <w:rPr>
          <w:lang w:val="es-AR" w:eastAsia="es-AR" w:bidi="es-AR"/>
        </w:rPr>
        <w:t xml:space="preserve">En segundo lugar, y con independencia de la calificación jurídica del giro, el deber de cuidado que pesa sobre todo conductor en circulación urbana exige prever eventualidades ordinarias del tránsito, entre ellas que el vehículo que circula delante pueda reducir la velocidad, detenerse o girar. Esta es precisamente la razón por la cual la ley impone el mantenimiento de una distancia de seguridad prudencial respecto del vehículo precedente (art. 48 inc. g, Ley 24.449 por adhesión art. 1 Ley 13.927, "Nuevo Código de Tránsito de la Pcia. de Buenos Aires ). Arribar a una intersección -un punto donde los giros son maniobras esperables y habituales- sin respetar esa distancia configura una imprudencia que no puede ser convalidada invocando el principio de confianza.</w:t>
      </w:r>
    </w:p>
    <w:p>
      <w:pPr>
        <w:pStyle w:val="[Normal]"/>
        <w:spacing w:line="360" w:lineRule="auto"/>
        <w:ind w:firstLine="1134"/>
        <w:jc w:val="both"/>
        <w:rPr>
          <w:lang w:val="es-AR" w:eastAsia="es-AR" w:bidi="es-AR"/>
        </w:rPr>
      </w:pPr>
      <w:r>
        <w:rPr>
          <w:lang w:val="es-AR" w:eastAsia="es-AR" w:bidi="es-AR"/>
        </w:rPr>
        <w:t xml:space="preserve">Y, al efecto resulta muy ilustrativo los antecedentes obrantes en el expediente penal ofrecido como prueba instrumental, muy especialmente lo declarado por la víctima en dicha causa a Fs. 63 vta (IPP - 12-00-001951-21/00).</w:t>
      </w:r>
    </w:p>
    <w:p>
      <w:pPr>
        <w:pStyle w:val="[Normal]"/>
        <w:spacing w:line="360" w:lineRule="auto"/>
        <w:ind w:firstLine="1134"/>
        <w:jc w:val="both"/>
        <w:rPr>
          <w:lang w:val="es-AR" w:eastAsia="es-AR" w:bidi="es-AR"/>
        </w:rPr>
      </w:pPr>
      <w:r>
        <w:rPr>
          <w:lang w:val="es-AR" w:eastAsia="es-AR" w:bidi="es-AR"/>
        </w:rPr>
        <w:t xml:space="preserve">Es que alli el Sr. Alzogaray, relato que "... </w:t>
      </w:r>
      <w:r>
        <w:rPr>
          <w:i/>
          <w:lang w:val="es-AR" w:eastAsia="es-AR" w:bidi="es-AR"/>
        </w:rPr>
        <w:t xml:space="preserve">en cuanto al hecho, veniamos por Ruta 8 y estabamos parados ahi en la Ruta y calleMazzei, en el semáforo, cuando nos habilitó, </w:t>
      </w:r>
      <w:r>
        <w:rPr>
          <w:i/>
          <w:u w:val="single"/>
          <w:lang w:val="es-AR" w:eastAsia="es-AR" w:bidi="es-AR"/>
        </w:rPr>
        <w:t xml:space="preserve">salimos todos y él se metió hacia la izquierda para meterse por calle Trincavelli y ahí me lo llevo puesto. Intenté tirar la moto un poquito para mi izquierda pero ya era tarde</w:t>
      </w:r>
      <w:r>
        <w:rPr>
          <w:lang w:val="es-AR" w:eastAsia="es-AR" w:bidi="es-AR"/>
        </w:rPr>
        <w:t xml:space="preserve">" (Fs. 63 vta. de la causa penal de referencia y el subrayado me pertenece)</w:t>
      </w:r>
    </w:p>
    <w:p>
      <w:pPr>
        <w:pStyle w:val="[Normal]"/>
        <w:spacing w:line="360" w:lineRule="auto"/>
        <w:ind w:firstLine="1134"/>
        <w:jc w:val="both"/>
        <w:rPr>
          <w:lang w:val="es-AR" w:eastAsia="es-AR" w:bidi="es-AR"/>
        </w:rPr>
      </w:pPr>
      <w:r>
        <w:rPr>
          <w:lang w:val="es-AR" w:eastAsia="es-AR" w:bidi="es-AR"/>
        </w:rPr>
        <w:t xml:space="preserve">Es así que de ello y lo dictaminado en la pericia mecánica llevada a cabo en la presente, el conductor de la moto infringió la normativa de transito que obliga a circular por la derecha, no intentar el sobrepaso cuando  ambos vehículos tenían luz verde para avanzar, es mas recién arrancaban por lo que la precaución imperaba en ese instante, para todos los conductores que se encontraban allí detenidos antes de emprender la marcha nuevamente (Arts. 42 Inc. b), también se ha violado las reglas que marcan los arts.  39, incs. b; 40, y 48 inc. g) de la  Ley de Tránsito  Nacional Nro. 24.449, por adhesión art. 1 Ley 13.927, "Nuevo Código de Tránsito de la Pcia. de Buenos Aires</w:t>
      </w:r>
    </w:p>
    <w:p>
      <w:pPr>
        <w:pStyle w:val="[Normal]"/>
        <w:spacing w:line="360" w:lineRule="auto"/>
        <w:ind w:firstLine="1134"/>
        <w:jc w:val="both"/>
        <w:rPr>
          <w:lang w:val="es-AR" w:eastAsia="es-AR" w:bidi="es-AR"/>
        </w:rPr>
      </w:pPr>
      <w:r>
        <w:rPr>
          <w:lang w:val="es-AR" w:eastAsia="es-AR" w:bidi="es-AR"/>
        </w:rPr>
        <w:t xml:space="preserve">El principio de confianza tiene como límite, precisamente, la diligencia debida: no exime al conductor de adoptar las precauciones razonables frente a los riesgos ordinarios del tránsito, entre los cuales los giros en intersecciones se cuentan sin ninguna duda.</w:t>
      </w:r>
    </w:p>
    <w:p>
      <w:pPr>
        <w:pStyle w:val="[Normal]"/>
        <w:spacing w:line="360" w:lineRule="auto"/>
        <w:ind w:firstLine="1134"/>
        <w:jc w:val="both"/>
        <w:rPr>
          <w:lang w:val="es-AR" w:eastAsia="es-AR" w:bidi="es-AR"/>
        </w:rPr>
      </w:pPr>
      <w:r>
        <w:rPr>
          <w:lang w:val="es-AR" w:eastAsia="es-AR" w:bidi="es-AR"/>
        </w:rPr>
        <w:t xml:space="preserve">Como bien se concluyó en sentencia"... </w:t>
      </w:r>
      <w:r>
        <w:rPr>
          <w:i/>
          <w:lang w:val="es-AR" w:eastAsia="es-AR" w:bidi="es-AR"/>
        </w:rPr>
        <w:t xml:space="preserve">el actuar del Sr. Alzogaray, quien circulaba sin tener cuidado y previsión, sin tener en cuenta los riesgos propios de la circulación y demás circunstancias del tránsito y mantener una distancia prudencial respecto del vehículo que lo precede, es decir, circulando de una manera desaprensiva, negligente e imprudente, configuró un obrar culpable, de una entidad tal que permite asegurar que se ha interrumpido de forma total el nexo de causalidad que exige la actuación de la responsabilidad en los artículos 1757, 1758, 1769 del Código Fonda</w:t>
      </w:r>
      <w:r>
        <w:rPr>
          <w:lang w:val="es-AR" w:eastAsia="es-AR" w:bidi="es-AR"/>
        </w:rPr>
        <w:t xml:space="preserve">l).</w:t>
      </w:r>
    </w:p>
    <w:p>
      <w:pPr>
        <w:pStyle w:val="[Normal]"/>
        <w:spacing w:line="360" w:lineRule="auto"/>
        <w:ind w:firstLine="1134"/>
        <w:jc w:val="both"/>
        <w:rPr>
          <w:lang w:val="es-AR" w:eastAsia="es-AR" w:bidi="es-AR"/>
        </w:rPr>
      </w:pPr>
      <w:r>
        <w:rPr>
          <w:lang w:val="es-AR" w:eastAsia="es-AR" w:bidi="es-AR"/>
        </w:rPr>
        <w:t xml:space="preserve">El cuarto agravio cuestiona  al juez de grado haber extraído conclusiones que, según el apelante, no surgirían del informe pericial, en particular respecto a la falta de distancia de seguridad y la circulación del actor por el centro de la calzada y tampoco se puede recibir esta queja.</w:t>
      </w:r>
    </w:p>
    <w:p>
      <w:pPr>
        <w:pStyle w:val="[Normal]"/>
        <w:spacing w:line="360" w:lineRule="auto"/>
        <w:ind w:firstLine="1134"/>
        <w:jc w:val="both"/>
        <w:rPr>
          <w:lang w:val="es-AR" w:eastAsia="es-AR" w:bidi="es-AR"/>
        </w:rPr>
      </w:pPr>
      <w:r>
        <w:rPr>
          <w:lang w:val="es-AR" w:eastAsia="es-AR" w:bidi="es-AR"/>
        </w:rPr>
        <w:t xml:space="preserve">Respecto a ello "... recuerdo que es facultad de los jueces la selección del material probatorio  y, en consecuencia, la posibilidad de inclinarse hacia determinados elementos acreditantes  y descartar otros, sin que sea preciso expresar en la sentencia la valoración de todos ellos, sino únicamente de los que resulten necesarios para el fallo de la causa (SCBA Ac. 67181 S 21-3-2001; Ac. 67657 S 17-5-2000, entre muchos otros), siendo soberanos en la selección de las mismas, pudiendo inclusive preferir unas y  descartar otras (SCBA Ac. 72724 S 23-2-2000; Ac. 71624 S 15-3-2000).- Admitir lo contrario importaría sin lugar a duda una declinación del principio del art. 384  y ccdtes. del procesal.-" (CCI Art. 1090 ; CCI Art. 1109CC0001 LZ 63392 RSD-225-7 S 19-6-2007, Fallo completo del sumario Juba: B2550623).-</w:t>
      </w:r>
    </w:p>
    <w:p>
      <w:pPr>
        <w:pStyle w:val="[Normal]"/>
        <w:spacing w:line="360" w:lineRule="auto"/>
        <w:ind w:firstLine="1134"/>
        <w:jc w:val="both"/>
        <w:rPr>
          <w:lang w:val="es-AR" w:eastAsia="es-AR" w:bidi="es-AR"/>
        </w:rPr>
      </w:pPr>
      <w:r>
        <w:rPr>
          <w:lang w:val="es-AR" w:eastAsia="es-AR" w:bidi="es-AR"/>
        </w:rPr>
        <w:t xml:space="preserve">La pericia mecánica estableció con precisión los puntos de contacto: daños concentrados en el sector frontal de la motocicleta y en el sector lateral izquierdo trasero del automóvil. Esta descripción objetiva permite extraer presunciones de hecho razonadas  mediante las reglas de la sana crítica, tal como el magistrado de grado realizó con sustento suficiente.</w:t>
      </w:r>
    </w:p>
    <w:p>
      <w:pPr>
        <w:pStyle w:val="[Normal]"/>
        <w:spacing w:line="360" w:lineRule="auto"/>
        <w:ind w:firstLine="1134"/>
        <w:jc w:val="both"/>
        <w:rPr>
          <w:lang w:val="es-AR" w:eastAsia="es-AR" w:bidi="es-AR"/>
        </w:rPr>
      </w:pPr>
      <w:r>
        <w:rPr>
          <w:lang w:val="es-AR" w:eastAsia="es-AR" w:bidi="es-AR"/>
        </w:rPr>
        <w:t xml:space="preserve">Del lugar del impacto se infiere con razonabilidad: a) que fue la motocicleta quien embistió al automóvil, y no a la inversa; b) que el automóvil ya había traspuesto una parte significativa de la intersección al momento del choque, lo que implica que la maniobra de giro era visible y perceptible para quien circulaba detrás; y c) que si el actor hubiera mantenido una distancia de seguridad adecuada, habría contado con el espacio necesario para frenar o esquivar.</w:t>
      </w:r>
    </w:p>
    <w:p>
      <w:pPr>
        <w:pStyle w:val="[Normal]"/>
        <w:spacing w:line="360" w:lineRule="auto"/>
        <w:ind w:firstLine="1134"/>
        <w:jc w:val="both"/>
        <w:rPr>
          <w:lang w:val="es-AR" w:eastAsia="es-AR" w:bidi="es-AR"/>
        </w:rPr>
      </w:pPr>
      <w:r>
        <w:rPr>
          <w:lang w:val="es-AR" w:eastAsia="es-AR" w:bidi="es-AR"/>
        </w:rPr>
        <w:t xml:space="preserve">La ausencia en la pericia de datos numéricos concretos sobre velocidad, distancias o tiempos de reacción no impide al juez construir presunciones de hecho sobre la base de la evidencia física disponible. La tarea del magistrado es precisamente esa: valorar la prueba en su conjunto con criterio racional y extraer conclusiones que resulten coherentes con las constancias del expediente. Ello no configura una valoración arbitraria, sino el ejercicio regular de las facultades jurisdiccionales que le son propias.</w:t>
      </w:r>
    </w:p>
    <w:p>
      <w:pPr>
        <w:pStyle w:val="[Normal]"/>
        <w:spacing w:line="360" w:lineRule="auto"/>
        <w:ind w:firstLine="1134"/>
        <w:jc w:val="both"/>
        <w:rPr>
          <w:lang w:val="es-AR" w:eastAsia="es-AR" w:bidi="es-AR"/>
        </w:rPr>
      </w:pPr>
      <w:r>
        <w:rPr>
          <w:lang w:val="es-AR" w:eastAsia="es-AR" w:bidi="es-AR"/>
        </w:rPr>
        <w:t xml:space="preserve">Asimismo, la circunstancia de que el impacto se haya producido en el sector trasero lateral del automóvil -cuando el actor venía siguiéndolo desde antes de la intersección- resulta indicativa de que la motocicleta se aproximó sin guardar la distancia prudencial que hubiera permitido reaccionar oportunamente. El razonamiento del juez de primera instancia es consistente con las constancias objetivas de la causa y no merece reproche.</w:t>
      </w:r>
    </w:p>
    <w:p>
      <w:pPr>
        <w:pStyle w:val="[Normal]"/>
        <w:spacing w:line="360" w:lineRule="auto"/>
        <w:ind w:firstLine="1134"/>
        <w:jc w:val="both"/>
        <w:rPr>
          <w:lang w:val="es-AR" w:eastAsia="es-AR" w:bidi="es-AR"/>
        </w:rPr>
      </w:pPr>
      <w:r>
        <w:rPr>
          <w:lang w:val="es-AR" w:eastAsia="es-AR" w:bidi="es-AR"/>
        </w:rPr>
        <w:t xml:space="preserve">Los restantes agravios cuestionan la conclusión del juez en cuanto a que la culpa exclusiva de la víctima interrumpió totalmente el nexo causal, eximiendo de toda responsabilidad a los demandados, y tampoco habrán de tener favorable acogida.</w:t>
      </w:r>
    </w:p>
    <w:p>
      <w:pPr>
        <w:pStyle w:val="[Normal]"/>
        <w:spacing w:line="360" w:lineRule="auto"/>
        <w:ind w:firstLine="1134"/>
        <w:jc w:val="both"/>
        <w:rPr>
          <w:lang w:val="es-AR" w:eastAsia="es-AR" w:bidi="es-AR"/>
        </w:rPr>
      </w:pPr>
      <w:r>
        <w:rPr>
          <w:lang w:val="es-AR" w:eastAsia="es-AR" w:bidi="es-AR"/>
        </w:rPr>
        <w:t xml:space="preserve">Es cierto que en el régimen de responsabilidad objetiva derivado del riesgo de la cosa (arts. 1757, 1758 y 1769, C.C.C.N.), la carga de probar las eximentes recae sobre el dueño o guardián de la cosa. En el presente caso, sin embargo, la conducta culposa del actor surge acreditada por la propia dinámica del accidente, tal como se desprende de las constancias del expediente y en particular de la pericia mecánica ya analizada.</w:t>
      </w:r>
    </w:p>
    <w:p>
      <w:pPr>
        <w:pStyle w:val="[Normal]"/>
        <w:spacing w:line="360" w:lineRule="auto"/>
        <w:ind w:firstLine="1134"/>
        <w:jc w:val="both"/>
        <w:rPr>
          <w:lang w:val="es-AR" w:eastAsia="es-AR" w:bidi="es-AR"/>
        </w:rPr>
      </w:pPr>
      <w:r>
        <w:rPr>
          <w:lang w:val="es-AR" w:eastAsia="es-AR" w:bidi="es-AR"/>
        </w:rPr>
        <w:t xml:space="preserve">El hecho del damnificado, para operar como causal de interrupción total del nexo causal, debe revestir entidad suficiente como para constituir la única causa adecuada del resultado dañoso (art. 1729 del CCyC). En este caso, la conducta del actor reúne esa entidad: circuló sin mantener la distancia de seguridad exigida por el art. 48 inc. g de la Ley 24.449, lo hizo por el sector izquierdo de la calzada en lugar de por el extremo derecho de su carril, se aproximó sin adoptar precaución frente a las maniobras previsibles del vehículo que lo precedía, y no ejecutó maniobra evasiva alguna ante el inicio del giro que ya se estaba produciendo.</w:t>
      </w:r>
    </w:p>
    <w:p>
      <w:pPr>
        <w:pStyle w:val="[Normal]"/>
        <w:spacing w:line="360" w:lineRule="auto"/>
        <w:ind w:firstLine="1134"/>
        <w:jc w:val="both"/>
        <w:rPr>
          <w:lang w:val="es-AR" w:eastAsia="es-AR" w:bidi="es-AR"/>
        </w:rPr>
      </w:pPr>
      <w:r>
        <w:rPr>
          <w:lang w:val="es-AR" w:eastAsia="es-AR" w:bidi="es-AR"/>
        </w:rPr>
        <w:t xml:space="preserve">Es que según lo relatado por el propio conductor no circulaba por el lado derecho de la calzada (como corresponde), no tenia el pleno dominio del vehículo que conducía (dijo expresamente que no pudo maniobrar para evitar la colisión), y la conducción fuera de la prudente distancia del vehículo que lo precedía, resultan  violaciones simultáneas  a la ley de tránsito, conforme las normas que he identificado en el párrafo anterior.</w:t>
      </w:r>
    </w:p>
    <w:p>
      <w:pPr>
        <w:pStyle w:val="[Normal]"/>
        <w:spacing w:line="360" w:lineRule="auto"/>
        <w:ind w:firstLine="1134"/>
        <w:jc w:val="both"/>
        <w:rPr>
          <w:lang w:val="es-AR" w:eastAsia="es-AR" w:bidi="es-AR"/>
        </w:rPr>
      </w:pPr>
      <w:r>
        <w:rPr>
          <w:lang w:val="es-AR" w:eastAsia="es-AR" w:bidi="es-AR"/>
        </w:rPr>
        <w:t xml:space="preserve">Esta conjunción de imprudencias, objetivada en los daños acreditados, es suficiente para configurar la culpa de la víctima como causa adecuada y exclusiva del resultado, desplazando la responsabilidad objetiva que en principio pesaría sobre el demandado (art. 1729, C.C.C.N.). No se trata de una presunción infundada del juzgador, sino de una conclusión que emana racionalmente del material probatorio incorporado al proceso.</w:t>
      </w:r>
    </w:p>
    <w:p>
      <w:pPr>
        <w:pStyle w:val="[Normal]"/>
        <w:spacing w:line="360" w:lineRule="auto"/>
        <w:ind w:firstLine="1134"/>
        <w:jc w:val="both"/>
        <w:rPr>
          <w:lang w:val="es-AR" w:eastAsia="es-AR" w:bidi="es-AR"/>
        </w:rPr>
      </w:pPr>
      <w:r>
        <w:rPr>
          <w:lang w:val="es-AR" w:eastAsia="es-AR" w:bidi="es-AR"/>
        </w:rPr>
        <w:t xml:space="preserve">El actor, en su calidad de motociclista que circulaba por una ruta nacional de intenso tránsito, tenía el deber de extremar las precauciones al aproximarse a una intersección, más aún cuando el vehículo que lo precedía podía razonablemente detenerse, reducir la marcha o girar. No haberlo hecho importó asumir un riesgo que la propia conducta negligente creó, sin que esa responsabilidad pueda ser trasladada a quien realizó una maniobra lícita en las circunstancias concretas del caso.</w:t>
      </w:r>
    </w:p>
    <w:p>
      <w:pPr>
        <w:pStyle w:val="[Normal]"/>
        <w:spacing w:line="360" w:lineRule="auto"/>
        <w:ind w:firstLine="1134"/>
        <w:jc w:val="both"/>
        <w:rPr>
          <w:lang w:val="es-AR" w:eastAsia="es-AR" w:bidi="es-AR"/>
        </w:rPr>
      </w:pPr>
      <w:r>
        <w:rPr>
          <w:lang w:val="es-AR" w:eastAsia="es-AR" w:bidi="es-AR"/>
        </w:rPr>
        <w:t xml:space="preserve">Todo lo cual sella desde esta altura del análisis la suerte del reclamo, en tanto el suceso se produjo efectivamente debido a que en la ocasión, el motociclista no respetó las normas de tránsito, principalmente la que impone a todo conductor el deber de "circular con cuidado y prevención, conservando en todo momento el dominio efectivo del vehículo, teniendo en cuenta los riesgos propios de la circulación y demás circunstancias de tránsito" (art. 39 de la b de la ley 24.449, por adhesión efectuada en el art. 1 del Nuevo Código de Tránsito de la Provincia de Buenos Aires, Ley 13.927)</w:t>
      </w:r>
    </w:p>
    <w:p>
      <w:pPr>
        <w:pStyle w:val="[Normal]"/>
        <w:spacing w:line="360" w:lineRule="auto"/>
        <w:ind w:firstLine="1134"/>
        <w:jc w:val="both"/>
        <w:rPr>
          <w:lang w:val="es-AR" w:eastAsia="es-AR" w:bidi="es-AR"/>
        </w:rPr>
      </w:pPr>
      <w:r>
        <w:rPr>
          <w:lang w:val="es-AR" w:eastAsia="es-AR" w:bidi="es-AR"/>
        </w:rPr>
        <w:t xml:space="preserve">"Las reglamentaciones de tránsito no pueden ser soslayadas y deben ser consideradas, junto con otras circunstancias, en oportunidad de calificar la conducta de la víctima o del tercero para determinar si ha ocurrido o no -y en su caso en que extensión- la situación prevista en la parte final del segundo apartado del art.1113 del Cód. Civil. (confr. SCBA LP C 99805 S 11/05/2011; SCBA LP Ac 84867 S 03/03/2004, ent. ots.).-</w:t>
      </w:r>
    </w:p>
    <w:p>
      <w:pPr>
        <w:pStyle w:val="[Normal]"/>
        <w:spacing w:line="360" w:lineRule="auto"/>
        <w:ind w:firstLine="1134"/>
        <w:jc w:val="both"/>
        <w:rPr>
          <w:lang w:val="es-AR" w:eastAsia="es-AR" w:bidi="es-AR"/>
        </w:rPr>
      </w:pPr>
      <w:r>
        <w:rPr>
          <w:lang w:val="es-AR" w:eastAsia="es-AR" w:bidi="es-AR"/>
        </w:rPr>
        <w:t xml:space="preserve">La maniobra de giro a la izquierda ejecutada por el demandado no configuró una conducta antijurídica en las circunstancias particulares del caso, esto es intersección en T con sistema de semáforos de paso alternado que garantizaba la ausencia de tránsito en sentido opuesto. La causa adecuada y exclusiva del accidente fue la conducta negligente del propio actor, quien incumplió el deber de mantener una distancia de seguridad prudencial, circuló por el sector central de la calzada y no adoptó precaución alguna ante una eventualidad previsible y ordinaria en la circulación urbana.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y confirmar la sentencia apelada, con costas al apelante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(Arts. 30 y 51 ley arancelaria).</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y confirmar la sentencia apelada, con costas al apelante vencido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(Arts. 30 y 51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19/05/2026 09:47:37 -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19/05/2026 09:58:27 -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19/05/2026 12:56:09 -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‰9'")è&amp;xvUNŠ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250702090006888653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19/05/2026 12:56:22 hs. bajo el número RS-82-2026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