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6000-26</w:t>
      </w:r>
      <w:r>
        <w:rPr>
          <w:lang w:val="es-AR" w:eastAsia="es-AR" w:bidi="es-AR"/>
        </w:rPr>
        <w:t xml:space="preserve"> caratulada </w:t>
      </w:r>
      <w:r>
        <w:rPr>
          <w:b/>
          <w:lang w:val="es-AR" w:eastAsia="es-AR" w:bidi="es-AR"/>
        </w:rPr>
        <w:t xml:space="preserve">"</w:t>
      </w:r>
      <w:r>
        <w:rPr>
          <w:b/>
          <w:color w:val="000000"/>
          <w:lang w:val="es-AR" w:eastAsia="es-AR" w:bidi="es-AR"/>
        </w:rPr>
        <w:t xml:space="preserve">DIEZ JOSE MARIA C/ COSENTINO JUAN IGNACIO Y OTRO/A S/ DAÑOS Y PERJ. INCUMP. CONTRACTUAL (EXC. ESTADO)</w:t>
      </w:r>
      <w:r>
        <w:rPr>
          <w:b/>
          <w:lang w:val="es-AR" w:eastAsia="es-AR" w:bidi="es-AR"/>
        </w:rPr>
        <w:t xml:space="preserve">"</w:t>
      </w:r>
      <w:r>
        <w:rPr>
          <w:lang w:val="es-AR" w:eastAsia="es-AR" w:bidi="es-AR"/>
        </w:rPr>
        <w:t xml:space="preserve">, Expte. N° 66.081 del Juzgado en lo Civil y Comercial N° 3, se practicó el sorteo de ley que determinó que la votación debía efectuarse en el siguiente orden: Graciela Scaraffía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Scaraffía dijo: </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rechazando la demanda que instaurara José María Diez contra Juan Ignacio Cosentino y Clínica Centro y las aseguradoras Seguros Médicos S. A. y La Segunda Cooperativa Limitada de Seguros Generales. Aplicó las costas a la parte actora y difirió la regulación de honorarios de los letrados intervinientes y de los peritos,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Mediante la presentación de fecha 18/12/2026 interpuso recurso de apelación la parte actora, expresando sus agravios en el escrito del día 15 de marzo de 2026.</w:t>
      </w:r>
    </w:p>
    <w:p>
      <w:pPr>
        <w:pStyle w:val="[Normal]"/>
        <w:spacing w:line="360" w:lineRule="auto"/>
        <w:ind w:firstLine="1134"/>
        <w:jc w:val="both"/>
        <w:rPr>
          <w:lang w:val="es-AR" w:eastAsia="es-AR" w:bidi="es-AR"/>
        </w:rPr>
      </w:pPr>
      <w:r>
        <w:rPr>
          <w:lang w:val="es-AR" w:eastAsia="es-AR" w:bidi="es-AR"/>
        </w:rPr>
        <w:t xml:space="preserve">Conferidos los traslados pertinentes, fueron contestados por los demandados y las citadas en garantías.</w:t>
      </w:r>
    </w:p>
    <w:p>
      <w:pPr>
        <w:pStyle w:val="[Normal]"/>
        <w:spacing w:line="360" w:lineRule="auto"/>
        <w:ind w:firstLine="1134"/>
        <w:jc w:val="both"/>
        <w:rPr>
          <w:lang w:val="es-AR" w:eastAsia="es-AR" w:bidi="es-AR"/>
        </w:rPr>
      </w:pPr>
      <w:r>
        <w:rPr>
          <w:lang w:val="es-AR" w:eastAsia="es-AR" w:bidi="es-AR"/>
        </w:rPr>
        <w:t xml:space="preserve">En fecha 7/4/2026 se dictó el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la quejosa contra la sentencia de grado que rechaza la demanda incoada, motivando su critica en los siguiente puntos, a saber: 1) valoración absurda de la prueba en tanto achaca al operador una contradicción entre lo probado y la conclusión, señalando que el profesional demandado no cumplió con el protocolo prequirúrgico en cuanto no le administró al paciente inicialmente ningún fármaco aspirina y/o heparina utilizado de manera preventiva para cubrir posibles complicaciones de trombosis post quirúrgicas; y a su decir estas premisas no fueron recogidas por el juez quien se apoyó exclusivamente en el informe pericial. 2) achaca omisión de valoración de prueba esencial que a su criterio refiere al documento de fs 9 el cual dice que es clave para acreditar que no hubo indicación de tratamiento ni pre ni post quirúrgico y que esta prueba fue adquirida para el proceso independientemente de quien la aporte. 3) reprocha apartamiento de la reglas de la sana critica desde el momento que funda la sentencia el operador en la prueba pericial dejando de lado la documental de fs. 9.-</w:t>
      </w:r>
    </w:p>
    <w:p>
      <w:pPr>
        <w:pStyle w:val="[Normal]"/>
        <w:spacing w:line="360" w:lineRule="auto"/>
        <w:ind w:firstLine="1134"/>
        <w:jc w:val="both"/>
        <w:rPr>
          <w:lang w:val="es-AR" w:eastAsia="es-AR" w:bidi="es-AR"/>
        </w:rPr>
      </w:pPr>
      <w:r>
        <w:rPr>
          <w:lang w:val="es-AR" w:eastAsia="es-AR" w:bidi="es-AR"/>
        </w:rPr>
        <w:t xml:space="preserve">A su turno lucen los respondes de la Citada en Garantía La Segunda Cooperativa Limitada de Seguros Generales a través de su apoderado, de Seguros Médicos a través de su apoderado, pidiendo todos la confirmación del fallo atacado.-</w:t>
      </w:r>
    </w:p>
    <w:p>
      <w:pPr>
        <w:pStyle w:val="[Normal]"/>
        <w:spacing w:line="360" w:lineRule="auto"/>
        <w:ind w:firstLine="1134"/>
        <w:jc w:val="both"/>
        <w:rPr>
          <w:lang w:val="es-AR" w:eastAsia="es-AR" w:bidi="es-AR"/>
        </w:rPr>
      </w:pPr>
      <w:r>
        <w:rPr>
          <w:lang w:val="es-AR" w:eastAsia="es-AR" w:bidi="es-AR"/>
        </w:rPr>
        <w:t xml:space="preserve">El actor relata que el 25/01/2021 fue intervenido quirúrgicamente por el demandado Juan Ignacio Cosentino en la Clínica Centro S. A. por padecer hernia meniscal de rodilla derecha. Dice que previo a la intervención se le habían realizado estudios complementarios de los que surgía el diagnóstico.  Relata que al concurrir al primer control el 1/03/2021 primera semana del pos operatorio le refirió al galeno que padecía un fuerte dolor en la pantorrilla derecha, ante lo cual el médico le indica un ecodoppler y que realizado ese estudio, se le díagnostica trombosis venosa profunda, derivándolo a un especialista en hematología quien le trató este padecimiento.  Explica que por 6 meses debió mantener el tratamiento por via oral y que vio impedido de llevar una vida de relación familiar y laboral normal, dadas el dolor y las molestias en la pierna derecha, que dice seguir padeciendo.  Afirma que a la fecha de la demanda el cuadro no se ha revertido y que las secuelas que deja una trombosis sólo permiten tratamientos medicamentoso que no revierten la insuficiencia circulatoria. Reprocha que este estado de incapacidad es consecuencia directa de la intervención quirúrgica "ya que ésta no dio el resultado pronosticado" y que "trombosis se traduce materialmente en un incumplimiento del débito contractual del profesional médico" que a su decir no ha tomado los recaudos correspondientes, señalando que omitió indicar un tratamiento previo y posterior a la operación con heparina inyectable".-</w:t>
      </w:r>
    </w:p>
    <w:p>
      <w:pPr>
        <w:pStyle w:val="[Normal]"/>
        <w:spacing w:line="360" w:lineRule="auto"/>
        <w:ind w:firstLine="1134"/>
        <w:jc w:val="both"/>
        <w:rPr>
          <w:lang w:val="es-AR" w:eastAsia="es-AR" w:bidi="es-AR"/>
        </w:rPr>
      </w:pPr>
      <w:r>
        <w:rPr>
          <w:lang w:val="es-AR" w:eastAsia="es-AR" w:bidi="es-AR"/>
        </w:rPr>
        <w:t xml:space="preserve">Sobre esta base es que dedujo la pretensión resarcitoria contra el médico,  la Clínica centro S. A. y las aseguradoras.- </w:t>
      </w:r>
    </w:p>
    <w:p>
      <w:pPr>
        <w:pStyle w:val="[Normal]"/>
        <w:spacing w:line="360" w:lineRule="auto"/>
        <w:ind w:firstLine="1134"/>
        <w:jc w:val="both"/>
        <w:rPr>
          <w:lang w:val="es-AR" w:eastAsia="es-AR" w:bidi="es-AR"/>
        </w:rPr>
      </w:pPr>
      <w:r>
        <w:rPr>
          <w:lang w:val="es-AR" w:eastAsia="es-AR" w:bidi="es-AR"/>
        </w:rPr>
        <w:t xml:space="preserve">Entrando a resolver liminarmente daré tratamiento al capitulo de la responsabilidad puesto en crisis por el quejoso, partiendo de la noción conceptual ya vertida en otros precedentes por este Tribunal y atinente a la responsabilidad profesional y en este caso concreto de los médicos.  Cito el criterio exhibido por nuestro Superior Tribunal Provincial en supuestos similares al que nos ocupa de responsabilidad o mala praxis médica, indicando también que esta Alzada ha seguido dichas pautas en varios precedentes (verbigracia cfr. causas C-2854; C-3465/00; C-973/92; 517/10, sentencia del 30/10/2010).-</w:t>
      </w:r>
    </w:p>
    <w:p>
      <w:pPr>
        <w:pStyle w:val="[Normal]"/>
        <w:spacing w:line="360" w:lineRule="auto"/>
        <w:ind w:firstLine="1134"/>
        <w:jc w:val="both"/>
        <w:rPr>
          <w:lang w:val="es-AR" w:eastAsia="es-AR" w:bidi="es-AR"/>
        </w:rPr>
      </w:pPr>
      <w:r>
        <w:rPr>
          <w:lang w:val="es-AR" w:eastAsia="es-AR" w:bidi="es-AR"/>
        </w:rPr>
        <w:t xml:space="preserve">Es que deben seguirse sus lineamientos y, partiendo del marco referencial, analizar las constancias reunidas en la causa y verificar si se encuentran reunidos (o no) los recaudos o condiciones de procedencia de la acción instaurada.-</w:t>
      </w:r>
    </w:p>
    <w:p>
      <w:pPr>
        <w:pStyle w:val="[Normal]"/>
        <w:spacing w:line="360" w:lineRule="auto"/>
        <w:ind w:firstLine="1134"/>
        <w:jc w:val="both"/>
        <w:rPr>
          <w:lang w:val="es-AR" w:eastAsia="es-AR" w:bidi="es-AR"/>
        </w:rPr>
      </w:pPr>
      <w:r>
        <w:rPr>
          <w:lang w:val="es-AR" w:eastAsia="es-AR" w:bidi="es-AR"/>
        </w:rPr>
        <w:t xml:space="preserve">Así, en distintos pronunciamientos la Suprema Corte sostuvo: "La obligación principal a prestar por los profesionales del arte de curar consiste en una actividad calificada técnica y científicamente -la actividad médica- en pos de la curación, mejoría o alivio del paciente, pero sin prometer ni obligarse a tal curación o alivio.  Lo prometido, el núcleo de su obligación, es desplegar sus buenos oficios profesionales, con toda la diligencia y esmero posible y de conformidad a lo que la ciencia y el arte médico indican, para lograr la cura o mejoría del enfermo.  Pero esto, la cura o mejoría, si bien es la finalidad última y el resultado esperado de esos buenos oficios, no es el objeto de su obligación.  De allí que la de los médicos es de medios y no de resultado." (Cfr. SCBA, Ac. 91215, S 5-4-2006, C-102805, S 29-11-2009 entre muchos, Sum. B28307).-</w:t>
      </w:r>
    </w:p>
    <w:p>
      <w:pPr>
        <w:pStyle w:val="[Normal]"/>
        <w:spacing w:line="360" w:lineRule="auto"/>
        <w:ind w:firstLine="1134"/>
        <w:jc w:val="both"/>
        <w:rPr>
          <w:lang w:val="es-AR" w:eastAsia="es-AR" w:bidi="es-AR"/>
        </w:rPr>
      </w:pPr>
      <w:r>
        <w:rPr>
          <w:lang w:val="es-AR" w:eastAsia="es-AR" w:bidi="es-AR"/>
        </w:rPr>
        <w:t xml:space="preserve">"La responsabilidad profesional es aquella en la que incurre el que ejerce una profesión, al faltar a los deberes especiales que ésta le impone y requiere, por lo tanto, para su configuración, los mismos elementos comunes a cualquier responsabilidad civil.  Ello quiere decir que cuando el profesional médico incurre en la omisión de las diligencias correspondientes a la naturaleza de su prestación asistencial, ya sea por impericia, imprudencia o negligencia, falta a su obligación y se coloca en la posición de deudor culpable (art. 512, C.C.) " (Cfr. SCBA Ac.43.540 S 9-4-91; C-100.254 S 16-12-09, entre muchos, Sum. B11871, JUBA).-</w:t>
      </w:r>
    </w:p>
    <w:p>
      <w:pPr>
        <w:pStyle w:val="[Normal]"/>
        <w:spacing w:line="360" w:lineRule="auto"/>
        <w:ind w:firstLine="1134"/>
        <w:jc w:val="both"/>
        <w:rPr>
          <w:lang w:val="es-AR" w:eastAsia="es-AR" w:bidi="es-AR"/>
        </w:rPr>
      </w:pPr>
      <w:r>
        <w:rPr>
          <w:lang w:val="es-AR" w:eastAsia="es-AR" w:bidi="es-AR"/>
        </w:rPr>
        <w:t xml:space="preserve">"Si no medía culpa en el médico interviniente no cabe responsabilizar al establecimiento asistencial con base en su "obligación de seguridad" porque la existencia de aquélla (la culpa del médico) es la demostración de la violación de ese deber de seguridad." (Cfr. SCBA Ac. 43.518, S 16-7-91; C 101294, S 15-4-2009, Sum. B 21591, JUBA).-</w:t>
      </w:r>
    </w:p>
    <w:p>
      <w:pPr>
        <w:pStyle w:val="[Normal]"/>
        <w:spacing w:line="360" w:lineRule="auto"/>
        <w:ind w:firstLine="1134"/>
        <w:jc w:val="both"/>
        <w:rPr>
          <w:lang w:val="es-AR" w:eastAsia="es-AR" w:bidi="es-AR"/>
        </w:rPr>
      </w:pPr>
      <w:r>
        <w:rPr>
          <w:lang w:val="es-AR" w:eastAsia="es-AR" w:bidi="es-AR"/>
        </w:rPr>
        <w:t xml:space="preserve">"El fracaso o la falta de buen éxito en la prestación de servicios médicos, no implican por sí solos el incumplimiento de la o las obligaciones asumidas por el profesional, correspondiendo al damnificado que pretenda una reparación, la prueba de la inejecución de la obligación por él prestada, así como su culpa". (SCBA, RC 2112668, S 20-10-2010, Sum. B 33664, JUBA).-</w:t>
      </w:r>
    </w:p>
    <w:p>
      <w:pPr>
        <w:pStyle w:val="[Normal]"/>
        <w:spacing w:line="360" w:lineRule="auto"/>
        <w:ind w:firstLine="1134"/>
        <w:jc w:val="both"/>
        <w:rPr>
          <w:lang w:val="es-AR" w:eastAsia="es-AR" w:bidi="es-AR"/>
        </w:rPr>
      </w:pPr>
      <w:r>
        <w:rPr>
          <w:lang w:val="es-AR" w:eastAsia="es-AR" w:bidi="es-AR"/>
        </w:rPr>
        <w:t xml:space="preserve">"Para que exista responsabilidad médica es necesario no sólo la presencia de un daño en el paciente, sino la adecuada relación de causalidad entre el perjuicio y la práctica médica." (SCBA, Ac 84616 S 3-3-2004 , C 92.134, S 25-6-2008, Sum. B 27143, JUBA).-</w:t>
      </w:r>
    </w:p>
    <w:p>
      <w:pPr>
        <w:pStyle w:val="[Normal]"/>
        <w:spacing w:line="360" w:lineRule="auto"/>
        <w:ind w:firstLine="1134"/>
        <w:jc w:val="both"/>
        <w:rPr>
          <w:lang w:val="es-AR" w:eastAsia="es-AR" w:bidi="es-AR"/>
        </w:rPr>
      </w:pPr>
      <w:r>
        <w:rPr>
          <w:lang w:val="es-AR" w:eastAsia="es-AR" w:bidi="es-AR"/>
        </w:rPr>
        <w:t xml:space="preserve">A partir de estos precedentes, ha de adunarse que para que quede comprometida la responsabilidad de los médicos por los hechos cometidos en el ejercicio de su profesión, la víctima debe demostrar la culpa en la realización de la atención médica prestada, la existencia del daño que hubiera sobrevenido a causa de ese hecho y la relación de causalidad entre el incumplimiento y el daño experimentado.-</w:t>
      </w:r>
    </w:p>
    <w:p>
      <w:pPr>
        <w:pStyle w:val="[Normal]"/>
        <w:spacing w:line="360" w:lineRule="auto"/>
        <w:ind w:firstLine="1134"/>
        <w:jc w:val="both"/>
        <w:rPr>
          <w:lang w:val="es-AR" w:eastAsia="es-AR" w:bidi="es-AR"/>
        </w:rPr>
      </w:pPr>
      <w:r>
        <w:rPr>
          <w:lang w:val="es-AR" w:eastAsia="es-AR" w:bidi="es-AR"/>
        </w:rPr>
        <w:t xml:space="preserve">Asimismo, basta que alguno de estos requisitos fracase para que el deudor quede exento de responsabilidad civil por las consecuencias de su actividad.-</w:t>
      </w:r>
    </w:p>
    <w:p>
      <w:pPr>
        <w:pStyle w:val="[Normal]"/>
        <w:spacing w:line="360" w:lineRule="auto"/>
        <w:ind w:firstLine="1134"/>
        <w:jc w:val="both"/>
        <w:rPr>
          <w:lang w:val="es-AR" w:eastAsia="es-AR" w:bidi="es-AR"/>
        </w:rPr>
      </w:pPr>
      <w:r>
        <w:rPr>
          <w:lang w:val="es-AR" w:eastAsia="es-AR" w:bidi="es-AR"/>
        </w:rPr>
        <w:t xml:space="preserve">Si el deber es de prudencia -o de medios- como acontece ordinariamente en la actividad médica, aquella tendrá que probar la culpa del facultativo, pues en ella, precisamente, consiste el incumplimiento, no haber observado la conducta prudente, diligente, apropiada, tergiversando el plan de prestación que es objeto del deber.  Desde este marco es que voy a analizar la causa puesta hoy a despacho.-</w:t>
      </w:r>
    </w:p>
    <w:p>
      <w:pPr>
        <w:pStyle w:val="[Normal]"/>
        <w:spacing w:line="360" w:lineRule="auto"/>
        <w:ind w:firstLine="1134"/>
        <w:jc w:val="both"/>
        <w:rPr>
          <w:lang w:val="es-AR" w:eastAsia="es-AR" w:bidi="es-AR"/>
        </w:rPr>
      </w:pPr>
      <w:r>
        <w:rPr>
          <w:lang w:val="es-AR" w:eastAsia="es-AR" w:bidi="es-AR"/>
        </w:rPr>
        <w:t xml:space="preserve">Para desentrañar tales cuestiones señalo que el magistrado de grado se ha apoyado en la prueba recabada en autos, y en especial la pericial médica producida que es el medio probatorio por excelencia para este tipo de juicios, en tanto el experto brinda al juez los elementos que escapan al conocimiento del derecho (arts. 474 y ccs del CPCC).-</w:t>
      </w:r>
    </w:p>
    <w:p>
      <w:pPr>
        <w:pStyle w:val="[Normal]"/>
        <w:spacing w:line="360" w:lineRule="auto"/>
        <w:ind w:firstLine="1134"/>
        <w:jc w:val="both"/>
        <w:rPr>
          <w:lang w:val="es-AR" w:eastAsia="es-AR" w:bidi="es-AR"/>
        </w:rPr>
      </w:pPr>
      <w:r>
        <w:rPr>
          <w:lang w:val="es-AR" w:eastAsia="es-AR" w:bidi="es-AR"/>
        </w:rPr>
        <w:t xml:space="preserve">Ciertamente el razonamiento dado por el judicante  no se ve conmovido por la queja, en cuanto ha valorado la configuración de los presupuestos tales como: a) el hecho antijurídico o falta médica, b) el daño causado y c) la relación de causalidad entre la conducta y el daño en un análisis pormenorizado y técnicamente impecable que no fue neutralizado por los agravios vertidos que evidencian un descontento con lo decidido pero no logran conmover los sólidos argumentos.-</w:t>
      </w:r>
    </w:p>
    <w:p>
      <w:pPr>
        <w:pStyle w:val="[Normal]"/>
        <w:spacing w:line="360" w:lineRule="auto"/>
        <w:ind w:firstLine="1134"/>
        <w:jc w:val="both"/>
        <w:rPr>
          <w:lang w:val="es-AR" w:eastAsia="es-AR" w:bidi="es-AR"/>
        </w:rPr>
      </w:pPr>
      <w:r>
        <w:rPr>
          <w:lang w:val="es-AR" w:eastAsia="es-AR" w:bidi="es-AR"/>
        </w:rPr>
        <w:t xml:space="preserve">No advierto arbitrariedad en la valoración probatoria, en cuanto el razonamiento  se ha motivado en las conclusiones de la pericia médica producida por Fabián Ricardo Gómez, Médico especialista en Ortopedia y Traumatología de la ciudad de Junín presentada electrónicamente el 12/02/2025 y donde claramente recoge  que "el día 23 de febrero de 2021 (en la demanda figura el 25/01/2021) fue intervenido quirúrgicamente (artroscopia simple) por el profesional Juan Ignacio Cosentino (especialista en Ortopiedía y Traumatología) en la Clínica Centro S. A. de esta ciudad, con díagnóstico de ruptura 3 del menisco interno de rodilla derecha.  Se le realizó una cirugía artroscópica simple (meniscetomia parcial y forage de osteocondritis femoral) y le otorgaron el alta de internación el mismo día con indicaciones post operatorias (AINES, ATB, AAS historia clínica).  Relata que a la semana de operado (01/03/2021) concurrió a control y primera curación, observándose las heridas en buen estado, pero referenció dolor y dureza en la pantorrilla por lo que el profesional le solicitó un Ecodoppler de miembros inferiores (11/03/2021) donde se observó una trombosis venosa (TVP), se le indicó sesiones de rehabilitación fisio kinésica y lo derivó con el Dr. Rodrigo Fernández (especialista en hematología) quien le confirmó el diagnóstico e inició un tratamiento anticoagulante específico (heparina inyectable, cenocumarol, medías de compresión).  El Dr. Fernández le otorgó el alta médica el día 21/10/21 (8 meses de tratamiento) pero como persistían los síntomas de dolor y edema residual en su pierna derecha decidió consultar a otro especialista relatando que hasta la actualidad continúa con las medías de compresión".  Y concretamente al evacuar los puntos de pericia dice que "Los estudios pre quirúrgicos realizados fueron los de rigor, y la medicación prescripta fue la protocolizada (estandarizada) para este tipo de intervenciones quirúrgicas".-</w:t>
      </w:r>
    </w:p>
    <w:p>
      <w:pPr>
        <w:pStyle w:val="[Normal]"/>
        <w:spacing w:line="360" w:lineRule="auto"/>
        <w:ind w:firstLine="1134"/>
        <w:jc w:val="both"/>
        <w:rPr>
          <w:lang w:val="es-AR" w:eastAsia="es-AR" w:bidi="es-AR"/>
        </w:rPr>
      </w:pPr>
      <w:r>
        <w:rPr>
          <w:lang w:val="es-AR" w:eastAsia="es-AR" w:bidi="es-AR"/>
        </w:rPr>
        <w:t xml:space="preserve">En una detallada descripción de todos los puntos concluye diciendo que "en los pacientes sanos sin factores de riesgo y con tiempo de anestesia menor de 90 minutos no se recomienda el uso de trombos profilaxis farmacológica".-</w:t>
      </w:r>
    </w:p>
    <w:p>
      <w:pPr>
        <w:pStyle w:val="[Normal]"/>
        <w:spacing w:line="360" w:lineRule="auto"/>
        <w:ind w:firstLine="1134"/>
        <w:jc w:val="both"/>
        <w:rPr>
          <w:lang w:val="es-AR" w:eastAsia="es-AR" w:bidi="es-AR"/>
        </w:rPr>
      </w:pPr>
      <w:r>
        <w:rPr>
          <w:lang w:val="es-AR" w:eastAsia="es-AR" w:bidi="es-AR"/>
        </w:rPr>
        <w:t xml:space="preserve">Agrega que en "la cirugía del ligamento cruzado anterior u osteocondrales se recomienda 14 días de profilaxis antitrombótica farmacológica. Se debe valorar el cociente de riesgo TEV/sangrado".-</w:t>
      </w:r>
    </w:p>
    <w:p>
      <w:pPr>
        <w:pStyle w:val="[Normal]"/>
        <w:spacing w:line="360" w:lineRule="auto"/>
        <w:ind w:firstLine="1134"/>
        <w:jc w:val="both"/>
        <w:rPr>
          <w:lang w:val="es-AR" w:eastAsia="es-AR" w:bidi="es-AR"/>
        </w:rPr>
      </w:pPr>
      <w:r>
        <w:rPr>
          <w:lang w:val="es-AR" w:eastAsia="es-AR" w:bidi="es-AR"/>
        </w:rPr>
        <w:t xml:space="preserve">Aduna que "si el tiempo de anestesia es mayor a 90 minutos o existen factores de riesgo concomitantes se recomienda una pauta de 7 a 14 días de rombo profilaxis farmacológica".-</w:t>
      </w:r>
    </w:p>
    <w:p>
      <w:pPr>
        <w:pStyle w:val="[Normal]"/>
        <w:spacing w:line="360" w:lineRule="auto"/>
        <w:ind w:firstLine="1134"/>
        <w:jc w:val="both"/>
        <w:rPr>
          <w:i/>
          <w:lang w:val="es-AR" w:eastAsia="es-AR" w:bidi="es-AR"/>
        </w:rPr>
      </w:pPr>
      <w:r>
        <w:rPr>
          <w:lang w:val="es-AR" w:eastAsia="es-AR" w:bidi="es-AR"/>
        </w:rPr>
        <w:t xml:space="preserve">En su conclusión el experto afirma qu</w:t>
      </w:r>
      <w:r>
        <w:rPr>
          <w:i/>
          <w:lang w:val="es-AR" w:eastAsia="es-AR" w:bidi="es-AR"/>
        </w:rPr>
        <w:t xml:space="preserve">e 1°- El actor Diez fue intervenido quirúrgicamente por vía artroscópica simple debido a una lesión meniscal de rodilla derecha.  Le otorgaron el Alta de internación el mismo día con indicaciones postoperatorias (AINES, ATB, AAS) y movilidad precoz, en el primer control semanal se detectó dolor y endurecimiento de la pantorrilla, por lo que se solicitó un ecodoppler que demostró la presencia de una TVP, le indicó sesiones de kinesiología y lo derivó con un hematólogo quien inició el tratamiento específico para dicha afección durante 8 meses. Ante la persistencia de los síntomas (dolor, edema residual) consultó con otro profesional que le indicó continuar con el tratamiento (inicialmente farmacológico y en la actualidad con medías de compresión).  2°- El Sr. Diez sufrió una complicación post operatoria temprana, como es la trombosis venosa profunda, (… La enfermedad tromboembólica es una complicación poco frecuente, pero representa una preocupación constante para el cirujano ortopédico… La incidencia de TVP sin profilaxis varía del 0,2 al 18%...), se encontraba dentro del grupo 0 según la escala de Caprini para el riesgo de TVP, y se tomaron medidas post operatorias (deambulación temprana y prescripción de antiagregantes, AAS) (…la trombo profilaxis farmacológica en pacientes sanos sin factores de riesgo y con un tiempo total de anestesia que no excede los 90 minutos no sería necesaria y no se puede recomendar la trombo profilaxis de rutina después de una artroscopía de rodilla…).  3°- Por todo lo expresado ut supra considero que las complicaciones post operatorias sufridas (TVP) han sido un hecho fortuito, ya que se tomaron las medidas protocolizadas y estandarizadas correspondientes para este tipo de paciente y cirugía, tanto pre como post operatorias.  Se procedió conforme a las reglas del buen y correcto arte profesional médico".</w:t>
      </w:r>
    </w:p>
    <w:p>
      <w:pPr>
        <w:pStyle w:val="[Normal]"/>
        <w:spacing w:line="360" w:lineRule="auto"/>
        <w:ind w:firstLine="1134"/>
        <w:jc w:val="both"/>
        <w:rPr>
          <w:lang w:val="es-AR" w:eastAsia="es-AR" w:bidi="es-AR"/>
        </w:rPr>
      </w:pPr>
      <w:r>
        <w:rPr>
          <w:lang w:val="es-AR" w:eastAsia="es-AR" w:bidi="es-AR"/>
        </w:rPr>
        <w:t xml:space="preserve">Esta pericia más la contestación de la impugnación realizada por el galeno del 24/02/2025 formaron el plexo probatorio en el cual se motivara el aquo para descartar culpa médica, todo de acuerdo a las reglas de la sana crítica (art. 386 del CPCC y su doctrina).-</w:t>
      </w:r>
    </w:p>
    <w:p>
      <w:pPr>
        <w:pStyle w:val="[Normal]"/>
        <w:spacing w:line="360" w:lineRule="auto"/>
        <w:ind w:firstLine="1134"/>
        <w:jc w:val="both"/>
        <w:rPr>
          <w:lang w:val="es-AR" w:eastAsia="es-AR" w:bidi="es-AR"/>
        </w:rPr>
      </w:pPr>
      <w:r>
        <w:rPr>
          <w:lang w:val="es-AR" w:eastAsia="es-AR" w:bidi="es-AR"/>
        </w:rPr>
        <w:t xml:space="preserve">La arbitrariedad en la valoración probatoria desplegada que achaca el quejoso de ningún modo puede ser atendida, en tanto el dictamen pericial además de completo, detallado y certero no fue neutralizado por ningún elemento de prueba que ponga en dudas sus conclusiones.-</w:t>
      </w:r>
    </w:p>
    <w:p>
      <w:pPr>
        <w:pStyle w:val="[Normal]"/>
        <w:spacing w:line="360" w:lineRule="auto"/>
        <w:ind w:firstLine="1134"/>
        <w:jc w:val="both"/>
        <w:rPr>
          <w:lang w:val="es-AR" w:eastAsia="es-AR" w:bidi="es-AR"/>
        </w:rPr>
      </w:pPr>
      <w:r>
        <w:rPr>
          <w:lang w:val="es-AR" w:eastAsia="es-AR" w:bidi="es-AR"/>
        </w:rPr>
        <w:t xml:space="preserve">El quejoso insiste machaconamente en la omisión de valoración del documento de fs. 6 a 9 del cual desprende que no se le administró ningún fármaco sea aspirina y/o heparina y que  el documento de fs. 9 en el renglón heparina se encuentra en blanco, desprendiendo de todo ello el desajuste a las reglas del correcto arte; achacando desde aquí la consecuencia post quirúrgica de trombosis venosa padecida.-teniendo en cuenta que era un paciente con diabetes.-</w:t>
      </w:r>
    </w:p>
    <w:p>
      <w:pPr>
        <w:pStyle w:val="[Normal]"/>
        <w:spacing w:line="360" w:lineRule="auto"/>
        <w:ind w:firstLine="1134"/>
        <w:jc w:val="both"/>
        <w:rPr>
          <w:lang w:val="es-AR" w:eastAsia="es-AR" w:bidi="es-AR"/>
        </w:rPr>
      </w:pPr>
      <w:r>
        <w:rPr>
          <w:lang w:val="es-AR" w:eastAsia="es-AR" w:bidi="es-AR"/>
        </w:rPr>
        <w:t xml:space="preserve">Más esta afirmación no encuentra sustento en ninguna prueba, menos aún si se la contrasta con la detallada y minuciosa pericia médica producida en autos donde claramente surge una conclusión distinta a la pretendida y que se ha mantenido incólumne.-</w:t>
      </w:r>
    </w:p>
    <w:p>
      <w:pPr>
        <w:pStyle w:val="[Normal]"/>
        <w:spacing w:line="360" w:lineRule="auto"/>
        <w:ind w:firstLine="1134"/>
        <w:jc w:val="both"/>
        <w:rPr>
          <w:i/>
          <w:lang w:val="es-AR" w:eastAsia="es-AR" w:bidi="es-AR"/>
        </w:rPr>
      </w:pPr>
      <w:r>
        <w:rPr>
          <w:lang w:val="es-AR" w:eastAsia="es-AR" w:bidi="es-AR"/>
        </w:rPr>
        <w:t xml:space="preserve">A riesgo de ser reiterativa el experto dijo claramente que "</w:t>
      </w:r>
      <w:r>
        <w:rPr>
          <w:i/>
          <w:lang w:val="es-AR" w:eastAsia="es-AR" w:bidi="es-AR"/>
        </w:rPr>
        <w:t xml:space="preserve">los estudios prequirúrgicos realizados fueron los de rigor, y la medicación prescripta fue la protocolizada para este tipo de intervenciones quirúrgicas" (presentación electrónica de fecha 03/02/2025.-</w:t>
      </w:r>
    </w:p>
    <w:p>
      <w:pPr>
        <w:pStyle w:val="[Normal]"/>
        <w:spacing w:line="360" w:lineRule="auto"/>
        <w:ind w:firstLine="1134"/>
        <w:jc w:val="both"/>
        <w:rPr>
          <w:lang w:val="es-AR" w:eastAsia="es-AR" w:bidi="es-AR"/>
        </w:rPr>
      </w:pPr>
      <w:r>
        <w:rPr>
          <w:lang w:val="es-AR" w:eastAsia="es-AR" w:bidi="es-AR"/>
        </w:rPr>
        <w:t xml:space="preserve">La afirmación del doliente de que la heparina prequirúrgica fue una omisión de la lex artis se contrasta con el informe pericial que no va en ese sentido y además ha de acudirse a titulo ilustrativo a informes científicos de la asociaciónargentinaartroscopia/Pub.Medcentral/Scielo.org.ar cuando señala que "la heparina puede considerarse necesaria en pacientes de alto riesgo, como aquellos inmovilizados, mayores de 45 años, fumadores, con obesidad (IMC &gt;30), antecedentes de trombosis o si la cirugía es compleja (por ej. reconstrucción de ligamentos).- La diabetes no implica alto riesgo para la artroscopia simple que requiera anticoagulación inyectable".-</w:t>
      </w:r>
    </w:p>
    <w:p>
      <w:pPr>
        <w:pStyle w:val="[Normal]"/>
        <w:spacing w:line="360" w:lineRule="auto"/>
        <w:ind w:firstLine="1134"/>
        <w:jc w:val="both"/>
        <w:rPr>
          <w:lang w:val="es-AR" w:eastAsia="es-AR" w:bidi="es-AR"/>
        </w:rPr>
      </w:pPr>
      <w:r>
        <w:rPr>
          <w:lang w:val="es-AR" w:eastAsia="es-AR" w:bidi="es-AR"/>
        </w:rPr>
        <w:t xml:space="preserve">Esto se trae sólo a título ilustrativo.-</w:t>
      </w:r>
    </w:p>
    <w:p>
      <w:pPr>
        <w:pStyle w:val="[Normal]"/>
        <w:spacing w:line="360" w:lineRule="auto"/>
        <w:ind w:firstLine="1134"/>
        <w:jc w:val="both"/>
        <w:rPr>
          <w:lang w:val="es-AR" w:eastAsia="es-AR" w:bidi="es-AR"/>
        </w:rPr>
      </w:pPr>
      <w:r>
        <w:rPr>
          <w:lang w:val="es-AR" w:eastAsia="es-AR" w:bidi="es-AR"/>
        </w:rPr>
        <w:t xml:space="preserve">No hay reproche ni absurdo en la valoración probatoria del juez de grado, al decidir la cuestión apoyado en los sólidos fundamentos de la pericia médica y sus aclaraciones, no habiendo aportado el actor una prueba eficaz, concluyente y científica que permita el apartamiento de la misma (arst. 386,  474 y ccs  del CPCC y su doctrina).-</w:t>
      </w:r>
    </w:p>
    <w:p>
      <w:pPr>
        <w:pStyle w:val="[Normal]"/>
        <w:spacing w:line="360" w:lineRule="auto"/>
        <w:ind w:firstLine="1134"/>
        <w:jc w:val="both"/>
        <w:rPr>
          <w:lang w:val="es-AR" w:eastAsia="es-AR" w:bidi="es-AR"/>
        </w:rPr>
      </w:pPr>
      <w:r>
        <w:rPr>
          <w:lang w:val="es-AR" w:eastAsia="es-AR" w:bidi="es-AR"/>
        </w:rPr>
        <w:t xml:space="preserve">Se ha dicho que "Cuando la demanda está dirigida a demostrar la mala praxis médica, el dictamen pericial es el único medio probatorio para poder determinar si ella se produjo por una actividad negligente o imprudente o falta de la pericia necesaria en los médicos empleados por el nosocomio que dio asistencia al lesionado (arg. art. 474, CPCC)". CPCB Art. 474 Ver Norma |CC0001 QL 19059 RSD 67/18 S 04/09/2018 Juez ZAPA (SD) Carátula: MAZA, JOSÉ DARÍO Y ALMADA, GRACIELA C/ HOSPITAL SUBZONAL MATERNO INFANTIL DE SAN FRANCISCO SOLANO Y OTROS S/ DAÑOS Y PERJUICIOS Magistrados Votantes: Zapa-Crichigno-Señaris Tribunal Origen: CC0001QL.-</w:t>
      </w:r>
    </w:p>
    <w:p>
      <w:pPr>
        <w:pStyle w:val="[Normal]"/>
        <w:spacing w:line="360" w:lineRule="auto"/>
        <w:ind w:firstLine="1134"/>
        <w:jc w:val="both"/>
        <w:rPr>
          <w:lang w:val="es-AR" w:eastAsia="es-AR" w:bidi="es-AR"/>
        </w:rPr>
      </w:pPr>
      <w:r>
        <w:rPr>
          <w:lang w:val="es-AR" w:eastAsia="es-AR" w:bidi="es-AR"/>
        </w:rPr>
        <w:t xml:space="preserve">El actor no ha demostrado ni tampoco surge de la experticia que la heparina inyectable (generalmente heparina de bajo peso molecular o HBPM) haya sido una condición sine qua non (obligatoria) en la artroscopia de rodilla del paciente con sus características particulares de diabetes.-</w:t>
      </w:r>
    </w:p>
    <w:p>
      <w:pPr>
        <w:pStyle w:val="[Normal]"/>
        <w:spacing w:line="360" w:lineRule="auto"/>
        <w:ind w:firstLine="1134"/>
        <w:jc w:val="both"/>
        <w:rPr>
          <w:lang w:val="es-AR" w:eastAsia="es-AR" w:bidi="es-AR"/>
        </w:rPr>
      </w:pPr>
      <w:r>
        <w:rPr>
          <w:lang w:val="es-AR" w:eastAsia="es-AR" w:bidi="es-AR"/>
        </w:rPr>
        <w:t xml:space="preserve">Por el contrario de la prueba producida surge que se tomaron todas las medidas protocolizadas para una artroscopia simple como lo afirma certeramente el perito médico.-</w:t>
      </w:r>
    </w:p>
    <w:p>
      <w:pPr>
        <w:pStyle w:val="[Normal]"/>
        <w:spacing w:line="360" w:lineRule="auto"/>
        <w:ind w:firstLine="1134"/>
        <w:jc w:val="both"/>
        <w:rPr>
          <w:lang w:val="es-AR" w:eastAsia="es-AR" w:bidi="es-AR"/>
        </w:rPr>
      </w:pPr>
      <w:r>
        <w:rPr>
          <w:lang w:val="es-AR" w:eastAsia="es-AR" w:bidi="es-AR"/>
        </w:rPr>
        <w:t xml:space="preserve">A mayor aclaración se ha señalado "El mero hecho de la no obtención del resultado esperado no puede traer aparejado necesariamente la responsabilidad civil del facultativo, atento que la ciencia médica tiene sus limitaciones y en el díagnóstico y tratamiento de las enfermedades existe siempre un área que escapa al cálculo más riguroso o a las previsiones más prudentes (conf. Trigo Represas, Félix A., "El carácter algo conjetural de la medicina y la configuración de la mala práxis médica", en L.L., 1997-C-591). En los procesos en los que se imputa responsabilidad médica por mala praxis, la prueba debe versar sobre los actos u omisiones del médico que demuestren una actividad negligente o imprudente o falta de la pericia necesaria, pero no solamente sobre el resultado negativo del tratamiento pues aunque ese resultado no fuere el esperado no compromete responsabilidad alguna si aquella conducta considerada reprochable no está probada suficientemente. (SCBA, en causas Ac. 81.491, 16/07/2003; C. 90.459, 26/12/2.007; C. 102.615, l 11/02/2009; C. 103.717, 03/03/2010)". CC0003 LZ 23569 2013 S 07/05/2020 Juez MOREDA (SD) Carátula: GOMEZ WALTER DARIO C/ CLINICA PRIVADA MONTE GRANDE SA Y OTRO/A S/DAÑOS Y PERJ. INCUMP. CONTRACTUAL (EXC. ESTADO) Magistrados Votantes: Moreda-Caram Tribunal Origen: JC1200LZ.-</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Manuel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Scaraffía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el fallo de primera instancia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Alzada hasta tanto obren los de primera instancia (art. 51 ley 14.967).- </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Manuel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el fallo de primera instancia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Alzada hasta tanto obren los de primera instancia (art. 51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20124348782@NOTIFICACIONES.SCBA.GOV.AR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20317793376@NOTIFICACIONES.SCBA.GOV.AR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27317419932@NOTIFICACIONES.SCBA.GOV.AR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27319187230@NOTIFICACIONES.SCBA.GOV.AR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20109165841@NOTIFICACIONES.SCBA.GOV.AR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12/05/2026 10:31:10 -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12/05/2026 10:59:08 -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12/05/2026 12:03:41 -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‰8a")è&amp;y8|7Š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246502090006892492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12/05/2026 12:04:03 hs. bajo el número RS-78-2026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