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6019-26</w:t>
      </w:r>
      <w:r>
        <w:rPr>
          <w:lang w:val="es-AR" w:eastAsia="es-AR" w:bidi="es-AR"/>
        </w:rPr>
        <w:t xml:space="preserve"> caratulada </w:t>
      </w:r>
      <w:r>
        <w:rPr>
          <w:b/>
          <w:lang w:val="es-AR" w:eastAsia="es-AR" w:bidi="es-AR"/>
        </w:rPr>
        <w:t xml:space="preserve">"</w:t>
      </w:r>
      <w:r>
        <w:rPr>
          <w:b/>
          <w:color w:val="000000"/>
          <w:lang w:val="es-AR" w:eastAsia="es-AR" w:bidi="es-AR"/>
        </w:rPr>
        <w:t xml:space="preserve">PEREZ GERALDINA FLAVIA C/ BANCO DE LA PROVINCIA DE BUENOS AIRES  S/ NULIDAD ACTO JURIDICO</w:t>
      </w:r>
      <w:r>
        <w:rPr>
          <w:b/>
          <w:lang w:val="es-AR" w:eastAsia="es-AR" w:bidi="es-AR"/>
        </w:rPr>
        <w:t xml:space="preserve">"</w:t>
      </w:r>
      <w:r>
        <w:rPr>
          <w:lang w:val="es-AR" w:eastAsia="es-AR" w:bidi="es-AR"/>
        </w:rPr>
        <w:t xml:space="preserve">, Expte. N° 68.364</w:t>
      </w:r>
      <w:r>
        <w:rPr>
          <w:color w:val="000000"/>
          <w:lang w:val="es-AR" w:eastAsia="es-AR" w:bidi="es-AR"/>
        </w:rPr>
        <w:t xml:space="preserve"> </w:t>
      </w:r>
      <w:r>
        <w:rPr>
          <w:lang w:val="es-AR" w:eastAsia="es-AR" w:bidi="es-AR"/>
        </w:rPr>
        <w:t xml:space="preserve">del  Juzgado Civil y Comercial N° 3</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w:t>
      </w:r>
      <w:r>
        <w:rPr>
          <w:color w:val="0000FF"/>
          <w:lang w:val="es-AR" w:eastAsia="es-AR" w:bidi="es-AR"/>
        </w:rPr>
        <w:t xml:space="preserv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primera instancia hizo lugar a la demanda de nulidad de acto jurídico, más daños y perjuicios que promoviera la Sra. Geraldina Flavia Pérez  contra el Banco de la Provincia de Buenos Aires; declarando la nulidad de la transferencia N° 066857 de fecha 19/05/2025 hora 04.48, debiendo la demandada reintegrar la suma de U$D 9.200 con más los intereses de acuerdo a lo señalado en el considerado IV) y, además, abonar al actor, dentro de los diez (10) días de notificada la presente, la suma de TRES MILLONES ( $ 3.000.000-), con más sus respectivos intereses calculados en la forma establecida en el considerando V Inc. A), a partir de la fecha de la mora (19/05/2025) y hasta el momento de su efectivo pago (S.C.B.A., Ac. 2078, C-95.720 del 15/09/2010 y L-118615 del 11/03/2015) (art. 768 C.C.C.N.).  Condenando a la demandada a abonar a la parte actora una multa de SIETE MILLONES de pesos  ($ 7.000.000), dentro de los diez días de notificada la presente (Art. 52 Bis de la LDC, t.o. Ley 26.361) Aplicando las costas a la parte demandada, que resulta vencida (art. 68 C.P.C.).  Difiriendo la regulación de honorarios de los letrados intervinientes y de los peritos.</w:t>
      </w:r>
    </w:p>
    <w:p>
      <w:pPr>
        <w:pStyle w:val="[Normal]"/>
        <w:spacing w:line="360" w:lineRule="auto"/>
        <w:ind w:firstLine="1134"/>
        <w:jc w:val="both"/>
        <w:rPr>
          <w:lang w:val="es-AR" w:eastAsia="es-AR" w:bidi="es-AR"/>
        </w:rPr>
      </w:pPr>
      <w:r>
        <w:rPr>
          <w:lang w:val="es-AR" w:eastAsia="es-AR" w:bidi="es-AR"/>
        </w:rPr>
        <w:t xml:space="preserve">Dicho decisorio dio lugar a la interposición de sendos recursos de apelación de las partes intervinientes, en fecha 26 y 27/2/2026, siendo concedidos el 4/3/2026 en relación, fundándolo la parte actora el 8/3/2026 mientras que el apoderado de la demandada lo hizo al momento de interponerlo.</w:t>
      </w:r>
    </w:p>
    <w:p>
      <w:pPr>
        <w:pStyle w:val="[Normal]"/>
        <w:spacing w:line="360" w:lineRule="auto"/>
        <w:ind w:firstLine="1134"/>
        <w:jc w:val="both"/>
        <w:rPr>
          <w:lang w:val="es-AR" w:eastAsia="es-AR" w:bidi="es-AR"/>
        </w:rPr>
      </w:pPr>
      <w:r>
        <w:rPr>
          <w:lang w:val="es-AR" w:eastAsia="es-AR" w:bidi="es-AR"/>
        </w:rPr>
        <w:t xml:space="preserve">Conferidos los pertinentes traslados de memoriales, fueron evacuados por la parte actora el 9/3/2026 y el 12/3/2026 por la demandada.</w:t>
      </w:r>
    </w:p>
    <w:p>
      <w:pPr>
        <w:pStyle w:val="[Normal]"/>
        <w:spacing w:line="360" w:lineRule="auto"/>
        <w:ind w:firstLine="1134"/>
        <w:jc w:val="both"/>
        <w:rPr>
          <w:lang w:val="es-AR" w:eastAsia="es-AR" w:bidi="es-AR"/>
        </w:rPr>
      </w:pPr>
      <w:r>
        <w:rPr>
          <w:lang w:val="es-AR" w:eastAsia="es-AR" w:bidi="es-AR"/>
        </w:rPr>
        <w:t xml:space="preserve">Ingresando los autos a este organismo el 13/3/2026, se da vista al Ministerio Público Fiscal, evacuando la misma el 18/3/2026, dictándose el llamamiento de autos para resolver el 31/3/202, providencia que hallándose firme deja la causa en condiciones de ser fallada.-</w:t>
      </w:r>
    </w:p>
    <w:p>
      <w:pPr>
        <w:pStyle w:val="[Normal]"/>
        <w:spacing w:line="360" w:lineRule="auto"/>
        <w:jc w:val="both"/>
        <w:rPr>
          <w:lang w:val="es-AR" w:eastAsia="es-AR" w:bidi="es-AR"/>
        </w:rPr>
      </w:pPr>
      <w:r>
        <w:rPr>
          <w:lang w:val="es-AR" w:eastAsia="es-AR" w:bidi="es-AR"/>
        </w:rPr>
        <w:t xml:space="preserve"> 	En sustento de su crítica recursiva, la parte actora planteá los siguientes puntos de agravio:</w:t>
      </w:r>
    </w:p>
    <w:p>
      <w:pPr>
        <w:pStyle w:val="[Normal]"/>
        <w:spacing w:line="360" w:lineRule="auto"/>
        <w:jc w:val="both"/>
        <w:rPr>
          <w:lang w:val="es-AR" w:eastAsia="es-AR" w:bidi="es-AR"/>
        </w:rPr>
      </w:pPr>
      <w:r>
        <w:rPr>
          <w:lang w:val="es-AR" w:eastAsia="es-AR" w:bidi="es-AR"/>
        </w:rPr>
        <w:t xml:space="preserve">  	1) Insuficiente cuantificación del daño moral, por no reflejar adecuadamente la entidad del padecimiento sufrido ni la pauta resarcitoria propuesta por la actora. En este sentido, la actora sostiene que la suma reconocida por este concepto resulta reducida frente a la magnitud de la afectación espiritual derivada del vaciamiento intempestivo de sus ahorros, la angustia padecida y la incertidumbre subsiguiente. Al respecto, añade que el monto fijado tampoco guarda adecuada correspondencia con la pauta de cuantificación oportunamente propuesta en la demanda como satisfacción sustitutiva del menoscabo extrapatrimonial.</w:t>
      </w:r>
    </w:p>
    <w:p>
      <w:pPr>
        <w:pStyle w:val="[Normal]"/>
        <w:spacing w:line="360" w:lineRule="auto"/>
        <w:jc w:val="both"/>
        <w:rPr>
          <w:lang w:val="es-AR" w:eastAsia="es-AR" w:bidi="es-AR"/>
        </w:rPr>
      </w:pPr>
      <w:r>
        <w:rPr>
          <w:lang w:val="es-AR" w:eastAsia="es-AR" w:bidi="es-AR"/>
        </w:rPr>
        <w:t xml:space="preserve"> 	2) Insuficiente cuantificación del daño punitivo, por apartarse del parámetro reclamado y por no asegurar una respuesta suficientemente disuasiva frente a la gravedad del incumplimiento. La recurrente cuestiona la suma establecida en concepto de daño punitivo por entender que no satisface la finalidad sancionatoria y preventiva propia del instituto. Refiere, en tal sentido, que el importe reconocido se aparta del parámetro solicitado al demandar y no alcanza para disuadir eficazmente a una entidad bancaria de la envergadura de la accionada frente a incumplimientos de esta naturaleza.</w:t>
      </w:r>
    </w:p>
    <w:p>
      <w:pPr>
        <w:pStyle w:val="[Normal]"/>
        <w:spacing w:line="360" w:lineRule="auto"/>
        <w:jc w:val="both"/>
        <w:rPr>
          <w:lang w:val="es-AR" w:eastAsia="es-AR" w:bidi="es-AR"/>
        </w:rPr>
      </w:pPr>
      <w:r>
        <w:rPr>
          <w:lang w:val="es-AR" w:eastAsia="es-AR" w:bidi="es-AR"/>
        </w:rPr>
        <w:t xml:space="preserve"> 	3) Omisión de pronunciamiento sobre los intereses del daño punitivo, debiendo precisarse su procedencia y el dies a quo correspondiente. La accionante también se agravia porque la sentencia no habría resuelto de modo expreso la cuestión relativa a los intereses aplicables al daño punitivo. Desde esa perspectiva, solicita que se integre el pronunciamiento, determinando no solo su procedencia sino también el momento a partir del cual deben correr hasta el efectivo pago.</w:t>
      </w:r>
    </w:p>
    <w:p>
      <w:pPr>
        <w:pStyle w:val="[Normal]"/>
        <w:spacing w:line="360" w:lineRule="auto"/>
        <w:jc w:val="both"/>
        <w:rPr>
          <w:lang w:val="es-AR" w:eastAsia="es-AR" w:bidi="es-AR"/>
        </w:rPr>
      </w:pPr>
      <w:r>
        <w:rPr>
          <w:lang w:val="es-AR" w:eastAsia="es-AR" w:bidi="es-AR"/>
        </w:rPr>
        <w:t xml:space="preserve"> 	A su turno, la parte demandada desglosa su queja en los siguientes aspectos críticos:</w:t>
      </w:r>
    </w:p>
    <w:p>
      <w:pPr>
        <w:pStyle w:val="[Normal]"/>
        <w:spacing w:line="360" w:lineRule="auto"/>
        <w:jc w:val="both"/>
        <w:rPr>
          <w:lang w:val="es-AR" w:eastAsia="es-AR" w:bidi="es-AR"/>
        </w:rPr>
      </w:pPr>
      <w:r>
        <w:rPr>
          <w:lang w:val="es-AR" w:eastAsia="es-AR" w:bidi="es-AR"/>
        </w:rPr>
        <w:t xml:space="preserve"> 	1) Atribución infundada de responsabilidad por falta de prueba respecto de la existencia del hecho delictual y de la participación activa del proveedor. La demandada sostiene que la sentencia tiene por acreditada una supuesta maniobra delictiva sobre la base de la sola afirmación de la actora, sin que exista prueba objetiva suficiente sobre la efectiva configuración del ilícito ni, mucho menos, sobre una intervención activa del Banco Provincia en su producción. Desde esa premisa, aduce que no puede imponerse al proveedor la carga de acreditar un hecho negativo ni extraerse responsabilidad de una hipótesis fáctica que -a su criterio- no fue debidamente demostrada.</w:t>
      </w:r>
    </w:p>
    <w:p>
      <w:pPr>
        <w:pStyle w:val="[Normal]"/>
        <w:spacing w:line="360" w:lineRule="auto"/>
        <w:jc w:val="both"/>
        <w:rPr>
          <w:lang w:val="es-AR" w:eastAsia="es-AR" w:bidi="es-AR"/>
        </w:rPr>
      </w:pPr>
      <w:r>
        <w:rPr>
          <w:lang w:val="es-AR" w:eastAsia="es-AR" w:bidi="es-AR"/>
        </w:rPr>
        <w:t xml:space="preserve"> 	2) Imputación de un incumplimiento inexistente al Banco y, por consiguiente, improcedencia de la condena principal y sus accesorios. La demandada sostiene que no existió incumplimiento contractual ni legal atribuible al Banco, pues la operatoria se habría cursado por los canales habilitados, con credenciales y token válidos de la actora, dentro del esquema de seguridad e información previsto por la entidad. Desde esa premisa, afirma que no se probó una falla del servicio, ni una intervención antijurídica del proveedor, ni un nexo causal jurídicamente relevante entre el obrar del banco y el perjuicio invocado, por lo que solicita la revocación de la condena principal -esto es, la decisión que declaró ineficaz la transferencia y ordenó el reintegro- así como de todos los rubros resarcitorios que de ella derivan.	</w:t>
      </w:r>
    </w:p>
    <w:p>
      <w:pPr>
        <w:pStyle w:val="[Normal]"/>
        <w:spacing w:line="360" w:lineRule="auto"/>
        <w:jc w:val="both"/>
        <w:rPr>
          <w:lang w:val="es-AR" w:eastAsia="es-AR" w:bidi="es-AR"/>
        </w:rPr>
      </w:pPr>
      <w:r>
        <w:rPr>
          <w:lang w:val="es-AR" w:eastAsia="es-AR" w:bidi="es-AR"/>
        </w:rPr>
        <w:t xml:space="preserve"> 	3) Indebida desestimación de la eximente basada en la culpa de la víctima. La demandada se agravia por la indebida desestimación de la eximente fundada en la culpa de la víctima, sosteniendo que el a quo tuvo por acreditado que la maniobra se concretó a partir de la entrega voluntaria de las claves y del token por parte de la propia actora a terceros ajenos al banco y, sin embargo, la eximió totalmente de responsabilidad. Desde esa premisa, afirma que la conducta de la usuaria -al infringir los deberes de resguardo de sus credenciales y franquear el acceso a sus cuentas- constituyó, cuanto menos, la causa adecuada del resultado dañoso o un factor idóneo para interrumpir o atenuar el nexo causal imputado a la entidad bancaria.	</w:t>
        <w:br w:type="textWrapping"/>
      </w:r>
      <w:r>
        <w:rPr>
          <w:lang w:val="es-AR" w:eastAsia="es-AR" w:bidi="es-AR"/>
        </w:rPr>
        <w:t xml:space="preserve"> 	4) Improcedencia del daño punitivo. Sobre la base de negar todo incumplimiento legal o contractual, la demandada sostiene que tampoco concurre el presupuesto habilitante del art. 52 bis de la LDC para la imposición de una multa civil. Añade que no se verificó una conducta dolosa, gravemente negligente o reveladora de notoria desaprensión por los derechos de la consumidora, por lo que la condena punitiva carecería de sustento y debería ser dejada sin efecto.</w:t>
      </w:r>
    </w:p>
    <w:p>
      <w:pPr>
        <w:pStyle w:val="[Normal]"/>
        <w:spacing w:line="360" w:lineRule="auto"/>
        <w:jc w:val="both"/>
        <w:rPr>
          <w:lang w:val="es-AR" w:eastAsia="es-AR" w:bidi="es-AR"/>
        </w:rPr>
      </w:pPr>
      <w:r>
        <w:rPr>
          <w:lang w:val="es-AR" w:eastAsia="es-AR" w:bidi="es-AR"/>
        </w:rPr>
        <w:t xml:space="preserve"> 	5) Exorbitancia del daño moral. Finalmente, la demandada cuestiona la cuantificación del daño moral por considerar que la suma de $3.000.000 resulta excesiva, arbitraria y desajustada a pautas razonables de valoración. Alega que el a quo habría fijado el rubro sin suficiente anclaje en criterios objetivos de mensuración, apartándose de parámetros de razonabilidad, proporcionalidad y comparación con precedentes análogos.</w:t>
      </w:r>
    </w:p>
    <w:p>
      <w:pPr>
        <w:pStyle w:val="[Normal]"/>
        <w:spacing w:line="360" w:lineRule="auto"/>
        <w:jc w:val="both"/>
        <w:rPr>
          <w:lang w:val="es-AR" w:eastAsia="es-AR" w:bidi="es-AR"/>
        </w:rPr>
      </w:pPr>
      <w:r>
        <w:rPr>
          <w:lang w:val="es-AR" w:eastAsia="es-AR" w:bidi="es-AR"/>
        </w:rPr>
        <w:t xml:space="preserve"> 	Oportunamente, la parte actora, al contestar el memorial del Banco Provincia, sostiene en primer término que el recurso no satisface la exigencia del art. 260 CPCC, porque no contiene una crítica concreta y razonada del fallo sino una mera reiteración de la contestación de demanda. A partir de allí, afirma que la demandada omite confrontar los fundamentos centrales de la sentencia, en particular la valoración de la prueba producida y las presunciones derivadas de su falta de colaboración procesal. </w:t>
      </w:r>
    </w:p>
    <w:p>
      <w:pPr>
        <w:pStyle w:val="[Normal]"/>
        <w:spacing w:line="360" w:lineRule="auto"/>
        <w:jc w:val="both"/>
        <w:rPr>
          <w:lang w:val="es-AR" w:eastAsia="es-AR" w:bidi="es-AR"/>
        </w:rPr>
      </w:pPr>
      <w:r>
        <w:rPr>
          <w:lang w:val="es-AR" w:eastAsia="es-AR" w:bidi="es-AR"/>
        </w:rPr>
        <w:t xml:space="preserve"> 	Remarca que quedó acreditado que la operatoria fue anómala, ajena al perfil transaccional de la usuaria y ejecutada desde una IP geolocalizada en la Ciudad de Buenos Aires, mientras la actora se encontraba en Pergamino. </w:t>
      </w:r>
    </w:p>
    <w:p>
      <w:pPr>
        <w:pStyle w:val="[Normal]"/>
        <w:spacing w:line="360" w:lineRule="auto"/>
        <w:jc w:val="both"/>
        <w:rPr>
          <w:lang w:val="es-AR" w:eastAsia="es-AR" w:bidi="es-AR"/>
        </w:rPr>
      </w:pPr>
      <w:r>
        <w:rPr>
          <w:lang w:val="es-AR" w:eastAsia="es-AR" w:bidi="es-AR"/>
        </w:rPr>
        <w:t xml:space="preserve"> 	También destaca que el banco no aportó de modo suficiente los protocolos de seguridad ni los elementos técnicos que estaban en su poder, incumpliendo el deber de colaboración del art. 53 LDC. </w:t>
      </w:r>
    </w:p>
    <w:p>
      <w:pPr>
        <w:pStyle w:val="[Normal]"/>
        <w:spacing w:line="360" w:lineRule="auto"/>
        <w:jc w:val="both"/>
        <w:rPr>
          <w:lang w:val="es-AR" w:eastAsia="es-AR" w:bidi="es-AR"/>
        </w:rPr>
      </w:pPr>
      <w:r>
        <w:rPr>
          <w:lang w:val="es-AR" w:eastAsia="es-AR" w:bidi="es-AR"/>
        </w:rPr>
        <w:t xml:space="preserve"> 	Añade que la sentencia valoró correctamente la pericia informática, la documental acompañada y la conducta omisiva de la demandada frente a intimaciones y requerimientos probatorios. En esa inteligencia, sostiene que no se probó culpa de la actora ni una ruptura del nexo causal, y que la responsabilidad del banco surge de su deficiente sistema de control y prevención. </w:t>
      </w:r>
    </w:p>
    <w:p>
      <w:pPr>
        <w:pStyle w:val="[Normal]"/>
        <w:spacing w:line="360" w:lineRule="auto"/>
        <w:jc w:val="both"/>
        <w:rPr>
          <w:lang w:val="es-AR" w:eastAsia="es-AR" w:bidi="es-AR"/>
        </w:rPr>
      </w:pPr>
      <w:r>
        <w:rPr>
          <w:lang w:val="es-AR" w:eastAsia="es-AR" w:bidi="es-AR"/>
        </w:rPr>
        <w:t xml:space="preserve"> 	Por todo ello, solicita el rechazo íntegro del recurso de la demandada, con costas.</w:t>
      </w:r>
    </w:p>
    <w:p>
      <w:pPr>
        <w:pStyle w:val="[Normal]"/>
        <w:spacing w:line="360" w:lineRule="auto"/>
        <w:jc w:val="both"/>
        <w:rPr>
          <w:lang w:val="es-AR" w:eastAsia="es-AR" w:bidi="es-AR"/>
        </w:rPr>
      </w:pPr>
      <w:r>
        <w:rPr>
          <w:lang w:val="es-AR" w:eastAsia="es-AR" w:bidi="es-AR"/>
        </w:rPr>
        <w:t xml:space="preserve"> 	Finalmente, la demandada, al contestar el traslado del memorial de la actora, centra su respuesta en un planteo preliminar de inadmisibilidad formal del recurso, sosteniendo que no contiene una crítica concreta y razonada de la sentencia sino una mera discrepancia con lo decidido por el juez de grado. </w:t>
      </w:r>
    </w:p>
    <w:p>
      <w:pPr>
        <w:pStyle w:val="[Normal]"/>
        <w:spacing w:line="360" w:lineRule="auto"/>
        <w:jc w:val="both"/>
        <w:rPr>
          <w:lang w:val="es-AR" w:eastAsia="es-AR" w:bidi="es-AR"/>
        </w:rPr>
      </w:pPr>
      <w:r>
        <w:rPr>
          <w:lang w:val="es-AR" w:eastAsia="es-AR" w:bidi="es-AR"/>
        </w:rPr>
        <w:t xml:space="preserve"> 	Afirma que la apelante se limita a insistir con argumentos ya expuestos, sin señalar con precisión cuál habría sido el error jurídico del fallo ni aportar nuevos elementos de hecho o de derecho que justifiquen su revisión. En esa línea, sostiene que la sentencia no exhibe el equívoco que la actora le atribuye y que, por el contrario, el memorial aparece “huérfano de todo criterio jurídico” para desvirtuarla. </w:t>
      </w:r>
    </w:p>
    <w:p>
      <w:pPr>
        <w:pStyle w:val="[Normal]"/>
        <w:spacing w:line="360" w:lineRule="auto"/>
        <w:jc w:val="both"/>
        <w:rPr>
          <w:lang w:val="es-AR" w:eastAsia="es-AR" w:bidi="es-AR"/>
        </w:rPr>
      </w:pPr>
      <w:r>
        <w:rPr>
          <w:lang w:val="es-AR" w:eastAsia="es-AR" w:bidi="es-AR"/>
        </w:rPr>
        <w:t xml:space="preserve"> 	Añade, además, que frente a la importante suma por la que ya fue condenado el banco, la pretensión de ampliación de la condena conduce a un resultado cercano al enriquecimiento sin causa. </w:t>
      </w:r>
    </w:p>
    <w:p>
      <w:pPr>
        <w:pStyle w:val="[Normal]"/>
        <w:spacing w:line="360" w:lineRule="auto"/>
        <w:jc w:val="both"/>
        <w:rPr>
          <w:lang w:val="es-AR" w:eastAsia="es-AR" w:bidi="es-AR"/>
        </w:rPr>
      </w:pPr>
      <w:r>
        <w:rPr>
          <w:lang w:val="es-AR" w:eastAsia="es-AR" w:bidi="es-AR"/>
        </w:rPr>
        <w:t xml:space="preserve"> 	Con base en ello, solicita el rechazo íntegro del recurso de la actora, con costas.  </w:t>
      </w:r>
    </w:p>
    <w:p>
      <w:pPr>
        <w:pStyle w:val="[Normal]"/>
        <w:spacing w:line="360" w:lineRule="auto"/>
        <w:ind w:firstLine="1134"/>
        <w:jc w:val="both"/>
        <w:rPr>
          <w:lang w:val="es-AR" w:eastAsia="es-AR" w:bidi="es-AR"/>
        </w:rPr>
      </w:pPr>
      <w:r>
        <w:rPr>
          <w:lang w:val="es-AR" w:eastAsia="es-AR" w:bidi="es-AR"/>
        </w:rPr>
        <w:t xml:space="preserve">I.- Liminarmente he de señalar que corresponde desestimar los planteos de deserción introducidos por ambas partes, pues, aun con desigual rigor técnico, ninguno de los memoriales puede reputarse huérfano de toda crítica concreta y razonada en los términos del art. 260 del CPCC. En efecto, el recurso de la actora individualiza con claridad los segmentos del pronunciamiento que reputa equivocados, circunscribiendo su queja a la cuantificación del daño moral, a la cuantificación del daño punitivo y a la omisión de intereses respecto de este último, desarrollando además las razones fácticas y jurídicas por las cuales entiende que tales aspectos deben ser revisados. Ello excede nítidamente la mera disconformidad subjetiva y satisface holgadamente el estándar mínimo de admisibilidad recursiva.</w:t>
      </w:r>
    </w:p>
    <w:p>
      <w:pPr>
        <w:pStyle w:val="[Normal]"/>
        <w:spacing w:line="360" w:lineRule="auto"/>
        <w:ind w:firstLine="1134"/>
        <w:jc w:val="both"/>
        <w:rPr>
          <w:lang w:val="es-AR" w:eastAsia="es-AR" w:bidi="es-AR"/>
        </w:rPr>
      </w:pPr>
      <w:r>
        <w:rPr>
          <w:lang w:val="es-AR" w:eastAsia="es-AR" w:bidi="es-AR"/>
        </w:rPr>
        <w:t xml:space="preserve">A igual conclusión cabe arribar respecto del recurso de la demandada. Si bien su memorial exhibe una técnica menos depurada y se aproxima, en ciertos pasajes, a la reiteración de defensas ya ensayadas -tal como lo pone de resalto la actora al contestarlo-, lo cierto es que permite identificar el agravio central que articula: la negación de responsabilidad del banco y, como derivación de ello, la improcedencia de la condena principal y de los rubros accesorios, en particular el daño moral y el daño punitivo. Dicho de otro modo, el escrito, en definitiva, delimita el ámbito de revisión y exterioriza las razones por las cuales pretende la revocación parcial o total del fallo, lo que basta para superar el test básico del art. 260 CPCC.</w:t>
      </w:r>
    </w:p>
    <w:p>
      <w:pPr>
        <w:pStyle w:val="[Normal]"/>
        <w:spacing w:line="360" w:lineRule="auto"/>
        <w:ind w:firstLine="1134"/>
        <w:jc w:val="both"/>
        <w:rPr>
          <w:lang w:val="es-AR" w:eastAsia="es-AR" w:bidi="es-AR"/>
        </w:rPr>
      </w:pPr>
      <w:r>
        <w:rPr>
          <w:lang w:val="es-AR" w:eastAsia="es-AR" w:bidi="es-AR"/>
        </w:rPr>
        <w:t xml:space="preserve">En esa inteligencia, este Tribunal adscribe a un criterio de apreciación flexible, compatible con la finalidad del art. 260 del CPCC. La exigencia de crítica concreta y razonada no debe ser interpretada con un rigor sacramental que frustre la revisión de la sentencia cuando, como aquí ocurre, del contenido de ambos memoriales es posible extraer con suficiente nitidez qué capítulos del fallo se cuestionan y por qué se los considera erróneos. </w:t>
      </w:r>
    </w:p>
    <w:p>
      <w:pPr>
        <w:pStyle w:val="[Normal]"/>
        <w:spacing w:line="360" w:lineRule="auto"/>
        <w:ind w:firstLine="1134"/>
        <w:jc w:val="both"/>
        <w:rPr>
          <w:lang w:val="es-AR" w:eastAsia="es-AR" w:bidi="es-AR"/>
        </w:rPr>
      </w:pPr>
      <w:r>
        <w:rPr>
          <w:lang w:val="es-AR" w:eastAsia="es-AR" w:bidi="es-AR"/>
        </w:rPr>
        <w:t xml:space="preserve">El citado recaudo procura ordenar y delimitar el debate recursivo, no erigirse en un valladar meramente formal que, en desmedro de la tutela judicial efectiva y del derecho de defensa, conduzca a la deserción de recursos que, aunque imperfectos, permiten el tratamiento útil de la controversia.</w:t>
      </w:r>
    </w:p>
    <w:p>
      <w:pPr>
        <w:pStyle w:val="[Normal]"/>
        <w:spacing w:line="360" w:lineRule="auto"/>
        <w:ind w:firstLine="1134"/>
        <w:jc w:val="both"/>
        <w:rPr>
          <w:i/>
          <w:lang w:val="es-AR" w:eastAsia="es-AR" w:bidi="es-AR"/>
        </w:rPr>
      </w:pPr>
      <w:r>
        <w:rPr>
          <w:lang w:val="es-AR" w:eastAsia="es-AR" w:bidi="es-AR"/>
        </w:rPr>
        <w:t xml:space="preserve">Al respecto, la Sala III de la Cámara Primera de Apelaciones en lo Civil y Comercia de La Plata ha refrendado este temperamento interpretativo al puntualizar que: </w:t>
      </w:r>
      <w:r>
        <w:rPr>
          <w:i/>
          <w:lang w:val="es-AR" w:eastAsia="es-AR" w:bidi="es-AR"/>
        </w:rPr>
        <w:t xml:space="preserve">"Según lo dispuesto en los arts. 246 y 260 del Código de Rito, cuando el apelante individualiza en mínima medida los motivos de su disconformidad, no procede declarar la deserción del recurso, pues debe imperar, existiendo duda, un criterio amplio y favorable al mantenimiento de la apertura de la segunda instancia en aseguramiento de la garantía de la defensa en juicio, siendo por tal razón, que a los fines de determinar el cumplimiento de las exigencias para mantener el recurso, la valoración no debe llevarse a cabo con excesivo e injustificado rigor formal"</w:t>
      </w:r>
      <w:r>
        <w:rPr>
          <w:lang w:val="es-AR" w:eastAsia="es-AR" w:bidi="es-AR"/>
        </w:rPr>
        <w:t xml:space="preserve"> (Cámara Primera de Apelaciones en lo Civil y Comercial de La Plata, Sala III, </w:t>
      </w:r>
      <w:r>
        <w:rPr>
          <w:i/>
          <w:lang w:val="es-AR" w:eastAsia="es-AR" w:bidi="es-AR"/>
        </w:rPr>
        <w:t xml:space="preserve">"Paletta, Marta B. c/Línea 520 y/o quien resulte civilmente responsable s/Daños y perjuicios", </w:t>
      </w:r>
      <w:r>
        <w:rPr>
          <w:lang w:val="es-AR" w:eastAsia="es-AR" w:bidi="es-AR"/>
        </w:rPr>
        <w:t xml:space="preserve">9/3/2004).</w:t>
      </w:r>
    </w:p>
    <w:p>
      <w:pPr>
        <w:pStyle w:val="[Normal]"/>
        <w:spacing w:line="360" w:lineRule="auto"/>
        <w:ind w:firstLine="1134"/>
        <w:jc w:val="both"/>
        <w:rPr>
          <w:lang w:val="es-AR" w:eastAsia="es-AR" w:bidi="es-AR"/>
        </w:rPr>
      </w:pPr>
      <w:r>
        <w:rPr>
          <w:lang w:val="es-AR" w:eastAsia="es-AR" w:bidi="es-AR"/>
        </w:rPr>
        <w:t xml:space="preserve">II.- Despejada esta objeción previa, estoy en condiciones de referir que la cuestión sometida a revisión por esta Alzada se circunscribe a determinar, en primer término, si la sentencia de grado se ajusta a derecho en cuanto atribuyó responsabilidad al Banco de la Provincia de Buenos Aires por la transferencia electrónica desconocida por la actora, declarando la ineficacia de la operatoria y ordenando el reintegro del capital sustraído; y, en segundo lugar, para el caso de mantenerse esa solución basal, si resultan acertadas la procedencia y extensión de los rubros accesorios reconocidos, a la luz de los agravios introducidos por ambas partes</w:t>
      </w:r>
    </w:p>
    <w:p>
      <w:pPr>
        <w:pStyle w:val="[Normal]"/>
        <w:spacing w:line="360" w:lineRule="auto"/>
        <w:ind w:firstLine="1134"/>
        <w:jc w:val="both"/>
        <w:rPr>
          <w:lang w:val="es-AR" w:eastAsia="es-AR" w:bidi="es-AR"/>
        </w:rPr>
      </w:pPr>
      <w:r>
        <w:rPr>
          <w:lang w:val="es-AR" w:eastAsia="es-AR" w:bidi="es-AR"/>
        </w:rPr>
        <w:t xml:space="preserve">Ya en tren de encuadrar la problemática objeto del presente litigio judicial, he de puntualizar que la cuestión aludida ha sido objeto de pronunciamiento en instancia definitiva por este mismo Tribunal. Y ese primer caso tuvo lugar en la causa N° 4684-22  </w:t>
      </w:r>
      <w:r>
        <w:rPr>
          <w:i/>
          <w:lang w:val="es-AR" w:eastAsia="es-AR" w:bidi="es-AR"/>
        </w:rPr>
        <w:t xml:space="preserve">"Piccardo, María Albertina c/ Banco Santander Rio S.A. s/ Nulidad Acto Jurídico"</w:t>
      </w:r>
      <w:r>
        <w:rPr>
          <w:lang w:val="es-AR" w:eastAsia="es-AR" w:bidi="es-AR"/>
        </w:rPr>
        <w:t xml:space="preserve">, mediante sentencia dictada en fecha 27/9/2022. Allí se efectuaron una serie de consideraciones coincidentes con los postulados que habré de referir mas abajo a los efectos de encuadrar jurídicamente la problemática en estudio.-</w:t>
      </w:r>
    </w:p>
    <w:p>
      <w:pPr>
        <w:pStyle w:val="[Normal]"/>
        <w:spacing w:line="360" w:lineRule="auto"/>
        <w:ind w:firstLine="1134"/>
        <w:jc w:val="both"/>
        <w:rPr>
          <w:color w:val="000000"/>
          <w:lang w:val="es-AR" w:eastAsia="es-AR" w:bidi="es-AR"/>
        </w:rPr>
      </w:pPr>
      <w:r>
        <w:rPr>
          <w:color w:val="000000"/>
          <w:lang w:val="es-AR" w:eastAsia="es-AR" w:bidi="es-AR"/>
        </w:rPr>
        <w:t xml:space="preserve">Siguiendo la línea argumental del citado precedente, es dable señalar que las relaciones jurídicas entre las entidades bancarias y sus clientes que tienen lugar a través de canales electrónicos resultan alcanzadas por el Código Civil y Comercial y si, por caso, el usuario que utiliza el servicio bancario lo hace con destino final deviene aplicable concomitantemente la ley de defensa del consumidor (art. 1 y 2 de la ley 24.240). Todo ello sin perjuicio de la profusa normativa administrativa dictada por el Banco Central y las demás entidades financieras que rige este tipo de actividad.-</w:t>
      </w:r>
    </w:p>
    <w:p>
      <w:pPr>
        <w:pStyle w:val="[Normal]"/>
        <w:spacing w:line="360" w:lineRule="auto"/>
        <w:ind w:firstLine="1134"/>
        <w:jc w:val="both"/>
        <w:rPr>
          <w:color w:val="000000"/>
          <w:lang w:val="es-AR" w:eastAsia="es-AR" w:bidi="es-AR"/>
        </w:rPr>
      </w:pPr>
      <w:r>
        <w:rPr>
          <w:color w:val="000000"/>
          <w:lang w:val="es-AR" w:eastAsia="es-AR" w:bidi="es-AR"/>
        </w:rPr>
        <w:t xml:space="preserve">A la luz de la regulación iusprivatista general, las plataformas digitales son susceptibles de calificarse como una cosa riesgosa en los términos de lo establecido en el art. 1757 del Código Civil y Comercial de la Nación. Cabe recordar que la disposición precitada, adhiriendo a la interpretación expansiva de </w:t>
      </w:r>
      <w:r>
        <w:rPr>
          <w:i/>
          <w:color w:val="000000"/>
          <w:lang w:val="es-AR" w:eastAsia="es-AR" w:bidi="es-AR"/>
        </w:rPr>
        <w:t xml:space="preserve">“cosa riesgosa”</w:t>
      </w:r>
      <w:r>
        <w:rPr>
          <w:color w:val="000000"/>
          <w:lang w:val="es-AR" w:eastAsia="es-AR" w:bidi="es-AR"/>
        </w:rPr>
        <w:t xml:space="preserve"> prevaleciente en la doctrina y jurisprudencia previa a la última codificación, englobó no sólo a aquellas cosas que en sí mismas sean riesgosas, sino también a aquellas cosas e incluso actividades que, aunque por su naturaleza no comporten un riesgo específico, adquieran dicho carácter en virtud de los medios empleados o las circunstancias de su realización (cf. ARIAS, Carolina Isabel, GERSCOVICH, Carlos G. Responsabilidad bancaria en entornos digitales. Publicado en: RCCyC 2021 (septiembre), 5).-</w:t>
      </w:r>
    </w:p>
    <w:p>
      <w:pPr>
        <w:pStyle w:val="[Normal]"/>
        <w:spacing w:line="360" w:lineRule="auto"/>
        <w:ind w:firstLine="1134"/>
        <w:jc w:val="both"/>
        <w:rPr>
          <w:color w:val="000000"/>
          <w:lang w:val="es-AR" w:eastAsia="es-AR" w:bidi="es-AR"/>
        </w:rPr>
      </w:pPr>
      <w:r>
        <w:rPr>
          <w:color w:val="000000"/>
          <w:lang w:val="es-AR" w:eastAsia="es-AR" w:bidi="es-AR"/>
        </w:rPr>
        <w:t xml:space="preserve">Desde tal óptica, se advierte que las plataformas digitales generan nuevas formas o maneras de vulnerar la seguridad de los usuarios que eran impensadas en la modalidad de gestión presencial. A ello cabe agregar que tales riesgos han sido introducidos por el proveedor en forma unilateral, más allá de la eventual adhesión de los usuarios bancarios al sistema de referencia. Hete aquí la razón que justifica que el riesgo generado por las herramientas digitales quede a cargo de las entidades bancarias (Cf. </w:t>
      </w:r>
      <w:r>
        <w:rPr>
          <w:color w:val="000000"/>
          <w:shd w:val="clear" w:color="auto" w:fill="FFFFFF"/>
          <w:lang w:val="es-AR" w:eastAsia="es-AR" w:bidi="es-AR"/>
        </w:rPr>
        <w:t xml:space="preserve">Stiglitz, G., Hernández, C., Barocelli, S., La protección del consumidor de Servicios Financieros y Bursátiles. Cita online: TR LA LEY AR/DOC/2991/2015).-</w:t>
      </w:r>
    </w:p>
    <w:p>
      <w:pPr>
        <w:pStyle w:val="[Normal]"/>
        <w:spacing w:line="360" w:lineRule="auto"/>
        <w:ind w:firstLine="1134"/>
        <w:jc w:val="both"/>
        <w:rPr>
          <w:color w:val="000000"/>
          <w:lang w:val="es-AR" w:eastAsia="es-AR" w:bidi="es-AR"/>
        </w:rPr>
      </w:pPr>
      <w:r>
        <w:rPr>
          <w:color w:val="000000"/>
          <w:lang w:val="es-AR" w:eastAsia="es-AR" w:bidi="es-AR"/>
        </w:rPr>
        <w:t xml:space="preserve">En aras de determinar la responsabilidad de las entidades financieras por las estafas digitales padecidas por los consumidores bancarios, cabe traer a colación al art. 5 y 6 de la ley 24.240 –iluminado por el enfoque tuitivo que le confiere el art. 42 de la CN- que consagra la obligación de seguridad en tanto deber objetivo de resultado que rige aún en la etapa precontractual y, naturalmente, alcanza a todas aquellas situaciones de riesgos generadas por los procedimientos operativos arbitrados por los proveedores.-</w:t>
      </w:r>
    </w:p>
    <w:p>
      <w:pPr>
        <w:pStyle w:val="[Normal]"/>
        <w:spacing w:line="360" w:lineRule="auto"/>
        <w:ind w:firstLine="1134"/>
        <w:jc w:val="both"/>
        <w:rPr>
          <w:lang w:val="es-AR" w:eastAsia="es-AR" w:bidi="es-AR"/>
        </w:rPr>
      </w:pPr>
      <w:r>
        <w:rPr>
          <w:color w:val="000000"/>
          <w:lang w:val="es-AR" w:eastAsia="es-AR" w:bidi="es-AR"/>
        </w:rPr>
        <w:t xml:space="preserve">Sobre los alcances de la obligación de seguridad en el ámbito consumeril, es dable señalar que la figura apunta a cubrir cualquier tipo de lesividad que pueda recaer sobre la persona o bienes del consumidor con motivo de la vigencia de una relación de consumo. Se trata, en suma, de mantener la incolumidad de la persona y los bienes jurídicos patrimoniales y extrapatrimoniales involucrados en el desenvolvimiento de una relación de consumo (cf. MOREA, Adrián Oscar, El Phishing y los préstamos digitales, un nuevo foco de responsabilidad bancaria. Publicado en Temas de Derecho Civil, Persona y Patrimonio, Ed. Erreius, Febrero 2022).-</w:t>
      </w:r>
    </w:p>
    <w:p>
      <w:pPr>
        <w:pStyle w:val="[Normal]"/>
        <w:spacing w:line="360" w:lineRule="auto"/>
        <w:ind w:firstLine="1134"/>
        <w:jc w:val="both"/>
        <w:rPr>
          <w:color w:val="000000"/>
          <w:lang w:val="es-AR" w:eastAsia="es-AR" w:bidi="es-AR"/>
        </w:rPr>
      </w:pPr>
      <w:r>
        <w:rPr>
          <w:color w:val="000000"/>
          <w:lang w:val="es-AR" w:eastAsia="es-AR" w:bidi="es-AR"/>
        </w:rPr>
        <w:t xml:space="preserve">El art. 42 de nuestra Carta Magna inaugura su texto refiriendo a que </w:t>
      </w:r>
      <w:r>
        <w:rPr>
          <w:i/>
          <w:color w:val="000000"/>
          <w:lang w:val="es-AR" w:eastAsia="es-AR" w:bidi="es-AR"/>
        </w:rPr>
        <w:t xml:space="preserve">"los consumidores y usuarios de bienes y servicios tienen derecho, en la relación de consumo, a la protección de su salud, seguridad e intereses económicos..."</w:t>
      </w:r>
      <w:r>
        <w:rPr>
          <w:color w:val="000000"/>
          <w:lang w:val="es-AR" w:eastAsia="es-AR" w:bidi="es-AR"/>
        </w:rPr>
        <w:t xml:space="preserve"> siendo ello una muestra clara de la filiación constitucional de la obligación de seguridad en el ámbito de consumo. Esta directiva fundamental no agota su amparo en la tutela esencial de la integridad física y salud del consumidor, sino que al comprender la salud, seguridad e intereses económicos de los consumidores, debe ser interpretada en el sentido de que la prestación de un servicio debe realizarse sin comprometer ninguno de esos aspectos de la órbita del consumidor. Así es que, en palabras de la Corte Nacional, la protección de la seguridad es un derecho previsto constitucionalmente de goce directo y efectivo por parte de sus titulares.-</w:t>
      </w:r>
    </w:p>
    <w:p>
      <w:pPr>
        <w:pStyle w:val="[Normal]"/>
        <w:spacing w:line="360" w:lineRule="auto"/>
        <w:ind w:firstLine="1134"/>
        <w:jc w:val="both"/>
        <w:rPr>
          <w:color w:val="000000"/>
          <w:lang w:val="es-AR" w:eastAsia="es-AR" w:bidi="es-AR"/>
        </w:rPr>
      </w:pPr>
      <w:r>
        <w:rPr>
          <w:color w:val="000000"/>
          <w:lang w:val="es-AR" w:eastAsia="es-AR" w:bidi="es-AR"/>
        </w:rPr>
        <w:t xml:space="preserve">Sobre la base de estas premisas fundamentales, la jurisprudencia y doctrina mayoritaria ha promovido y consolidado una lectura amplia y finalista del art. 5 y 6 de la LCD expandiendo las fronteras de la obligación de seguridad no sólo a las cosas peligrosas, sino también a todas aquellas actividades que puedan revestir cierto riesgo para la persona o bienes de los consumidores o usuarios, siendo ello lo que justifica que se imponga al proveedor el deber de velar por la inocuidad de los productos y servicios ofrecidos a los consumidores. Tal flexibilidad hermenéutica también ha sido favorecida por la potenciación normativa de ciertos principios jurídicos como la buena fe (arts. 1, 9, 11, 729, 961, 991, 1061) y el principio preventivo (arts. 1710 y 1711).-</w:t>
      </w:r>
    </w:p>
    <w:p>
      <w:pPr>
        <w:pStyle w:val="[Normal]"/>
        <w:spacing w:line="360" w:lineRule="auto"/>
        <w:ind w:firstLine="1134"/>
        <w:jc w:val="both"/>
        <w:rPr>
          <w:color w:val="000000"/>
          <w:lang w:val="es-AR" w:eastAsia="es-AR" w:bidi="es-AR"/>
        </w:rPr>
      </w:pPr>
      <w:r>
        <w:rPr>
          <w:color w:val="000000"/>
          <w:lang w:val="es-AR" w:eastAsia="es-AR" w:bidi="es-AR"/>
        </w:rPr>
        <w:t xml:space="preserve">Como consecuencia lógica de esta relectura de la obligación de seguridad en el ámbito consumeril, se ha considerado que estamos frente a un deber de resultado que reconoce su fundamento en la garantía de indemnidad de aquellos intereses que pudieren lesionarse durante la fase precontractual, contractual y poscontractual. De conformidad con tal amplitud, nuestro Máximo Tribunal ha precisado que el deber de indemnidad abarca toda la relación de consumo, incluyendo hechos jurídicos, actos unilaterales, o bilaterales (CSJN, "Bea Héctor y otro c. Estado Nacional - Secretaría de Turismo s/ daños y perjuicios", Fallos: 333:1623 (2010), considerando 17 del voto del Dr. Lorenzetti; CSJN, "Zubeldía, Luis y otros c. Municipalidad de La Plata y otro", Fallos: 329:28 (2006), considerando 2 del voto de los Dres. Lorenzetti y Zaffaroni.).-</w:t>
      </w:r>
    </w:p>
    <w:p>
      <w:pPr>
        <w:pStyle w:val="[Normal]"/>
        <w:spacing w:line="360" w:lineRule="auto"/>
        <w:ind w:firstLine="1134"/>
        <w:jc w:val="both"/>
        <w:rPr>
          <w:color w:val="000000"/>
          <w:lang w:val="es-AR" w:eastAsia="es-AR" w:bidi="es-AR"/>
        </w:rPr>
      </w:pPr>
      <w:r>
        <w:rPr>
          <w:color w:val="000000"/>
          <w:lang w:val="es-AR" w:eastAsia="es-AR" w:bidi="es-AR"/>
        </w:rPr>
        <w:t xml:space="preserve">En relación al estándar de conducta imponible al Banco, cabe puntualizar que estamos ante un supuesto de responsabilidad objetiva agravada en virtud de la marcada profesionalidad y forma empresarial de las entidades financieras. Y, en función de ello, recae sobre los proveedores bancarios la obligación de realizar todas las acciones que exija la naturaleza de la relación de consumo, tendientes a evitar perjuicios a los usuarios del sistema. Se trata, en efecto, de un deber lo suficientemente amplio como para abarcar prestaciones tales como la vigilancia permanente, la remoción inmediata de obstáculos o elementos extraños, el control ininterrumpido de los mecanismos, y toda otra medida que dentro del deber de custodia pueda caber a los efectos de resguardar la seguridad, la estructura y fluidez de la circulación de los clientes.-</w:t>
      </w:r>
    </w:p>
    <w:p>
      <w:pPr>
        <w:pStyle w:val="[Normal]"/>
        <w:spacing w:line="360" w:lineRule="auto"/>
        <w:ind w:firstLine="1134"/>
        <w:jc w:val="both"/>
        <w:rPr>
          <w:color w:val="000000"/>
          <w:lang w:val="es-AR" w:eastAsia="es-AR" w:bidi="es-AR"/>
        </w:rPr>
      </w:pPr>
      <w:r>
        <w:rPr>
          <w:color w:val="000000"/>
          <w:lang w:val="es-AR" w:eastAsia="es-AR" w:bidi="es-AR"/>
        </w:rPr>
        <w:t xml:space="preserve">De este modo, los parámetros o estándares de actuación de los bancos adquieren una especial dimensión y estrictez en virtud de la superioridad técnica y económica que deriva de su insoslayable profesionalidad. Ello impone una operatividad concreta de las pautas contenidas en el art. 1725 del Cód. Civ. y Com. Por un lado, la segunda mitad del primer párrafo en tanto manda a analizar con estrictez </w:t>
      </w:r>
      <w:r>
        <w:rPr>
          <w:i/>
          <w:color w:val="000000"/>
          <w:lang w:val="es-AR" w:eastAsia="es-AR" w:bidi="es-AR"/>
        </w:rPr>
        <w:t xml:space="preserve">"la valoración de la previsibilidad de las consecuencias"</w:t>
      </w:r>
      <w:r>
        <w:rPr>
          <w:color w:val="000000"/>
          <w:lang w:val="es-AR" w:eastAsia="es-AR" w:bidi="es-AR"/>
        </w:rPr>
        <w:t xml:space="preserve">; por el otro, la disposición del segundo párrafo refuerza la especial diligencia que le incumbe al Banco en el cumplimiento de este cometido: </w:t>
      </w:r>
      <w:r>
        <w:rPr>
          <w:i/>
          <w:color w:val="000000"/>
          <w:lang w:val="es-AR" w:eastAsia="es-AR" w:bidi="es-AR"/>
        </w:rPr>
        <w:t xml:space="preserve">"Cuando existe una confianza especial, se debe tener en cuenta la naturaleza del acto y las condiciones particulares de </w:t>
      </w:r>
      <w:r>
        <w:rPr>
          <w:color w:val="000000"/>
          <w:lang w:val="es-AR" w:eastAsia="es-AR" w:bidi="es-AR"/>
        </w:rPr>
        <w:t xml:space="preserve">las partes". En esta línea, Chamatropulos sostiene que la conducta de las entidades bancarias deberá ser apreciada con parámetros aún más exigentes que aquellos que se utilicen para evaluar el accionar de otros proveedores también regidos por el estatuto del consumidor pero que no se encuentran llamados a cumplir un rol en la sociedad tan preponderante como el de las entidades financieras (Chamatropulos, Demetrio A., El deber de seguridad de los bancos y los daños derivados de la utilización de cajeros automáticos, RCyS 2010-IX, 95, Cita online: TR LALEY AR/DOC/5129/2010).-</w:t>
      </w:r>
    </w:p>
    <w:p>
      <w:pPr>
        <w:pStyle w:val="Normal"/>
        <w:widowControl w:val="on"/>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60" w:lineRule="auto"/>
        <w:ind w:firstLine="1134"/>
        <w:jc w:val="both"/>
        <w:rPr>
          <w:rFonts w:ascii="Arial" w:hAnsi="Arial" w:eastAsia="Arial" w:cs="Arial"/>
          <w:i/>
          <w:color w:val="000000"/>
          <w:sz w:val="24"/>
          <w:lang w:val="es-AR" w:eastAsia="es-AR" w:bidi="es-AR"/>
        </w:rPr>
      </w:pPr>
      <w:r>
        <w:rPr>
          <w:rFonts w:ascii="Arial" w:hAnsi="Arial" w:eastAsia="Arial" w:cs="Arial"/>
          <w:color w:val="000000"/>
          <w:sz w:val="24"/>
          <w:lang w:val="es-AR" w:eastAsia="es-AR" w:bidi="es-AR"/>
        </w:rPr>
        <w:t xml:space="preserve">A los fines de evidenciar la contundencia con la cual se está evaluando esta obligación de seguridad, resulta ilustrativo traer a colación lo resuelto por la Sala D de la Cámara Nacional en lo Comercial en el caso </w:t>
      </w:r>
      <w:r>
        <w:rPr>
          <w:rFonts w:ascii="Arial" w:hAnsi="Arial" w:eastAsia="Arial" w:cs="Arial"/>
          <w:i/>
          <w:color w:val="000000"/>
          <w:sz w:val="24"/>
          <w:lang w:val="es-AR" w:eastAsia="es-AR" w:bidi="es-AR"/>
        </w:rPr>
        <w:t xml:space="preserve">"Zappettini". </w:t>
      </w:r>
      <w:r>
        <w:rPr>
          <w:rFonts w:ascii="Arial" w:hAnsi="Arial" w:eastAsia="Arial" w:cs="Arial"/>
          <w:color w:val="000000"/>
          <w:sz w:val="24"/>
          <w:lang w:val="es-AR" w:eastAsia="es-AR" w:bidi="es-AR"/>
        </w:rPr>
        <w:t xml:space="preserve">Entonces, los magistrados votantes sostuvieron que: </w:t>
      </w:r>
      <w:r>
        <w:rPr>
          <w:rFonts w:ascii="Arial" w:hAnsi="Arial" w:eastAsia="Arial" w:cs="Arial"/>
          <w:i/>
          <w:color w:val="000000"/>
          <w:sz w:val="24"/>
          <w:lang w:val="es-AR" w:eastAsia="es-AR" w:bidi="es-AR"/>
        </w:rPr>
        <w:t xml:space="preserve">"la responsabilidad del banco es, desde el punto de vista del cliente, la que deriva de la existencia de una obligación de resultado en cuanto al correcto funcionamiento del sistema de cajero automático, evitando operaciones fallidas y permitiendo la permanente extracción de fondos o depósitos, la acreditación de pagos y transferencias sin error, la correcta consulta de saldos, etc. y, a la vez, de seguridad en cuanto debe brindarse al cliente una prestación funcional preparada para brindar el servicio de cajeros de la manera más confiable posible frente a maniobras fraudulentas de terceros". </w:t>
      </w:r>
      <w:r>
        <w:rPr>
          <w:rFonts w:ascii="Arial" w:hAnsi="Arial" w:eastAsia="Arial" w:cs="Arial"/>
          <w:color w:val="000000"/>
          <w:sz w:val="24"/>
          <w:lang w:val="es-AR" w:eastAsia="es-AR" w:bidi="es-AR"/>
        </w:rPr>
        <w:t xml:space="preserve">(CNCom., sala D, 11/08/2009, "Zappettini, Raúl M. c. Banelco SA", JA 70054894, LLOnline 20090796).-</w:t>
      </w:r>
    </w:p>
    <w:p>
      <w:pPr>
        <w:pStyle w:val="[Normal]"/>
        <w:spacing w:line="360" w:lineRule="auto"/>
        <w:ind w:firstLine="1134"/>
        <w:jc w:val="both"/>
        <w:rPr>
          <w:color w:val="000000"/>
          <w:lang w:val="es-AR" w:eastAsia="es-AR" w:bidi="es-AR"/>
        </w:rPr>
      </w:pPr>
      <w:r>
        <w:rPr>
          <w:color w:val="000000"/>
          <w:lang w:val="es-AR" w:eastAsia="es-AR" w:bidi="es-AR"/>
        </w:rPr>
        <w:t xml:space="preserve">Este criterio se potencia en el estado actual de desarrollo tecnológico que asola al mundo, atento a la necesidad y conveniencia de canalizar una mayor cantidad de operaciones a través de los servicios financieros. Tal circunstancia conlleva para la entidad financiera la responsabilidad de actuar con la atención y cautela que corresponda al servicio que presta y se obliga a cumplir</w:t>
      </w:r>
      <w:r>
        <w:rPr>
          <w:lang w:val="es-AR" w:eastAsia="es-AR" w:bidi="es-AR"/>
        </w:rPr>
        <w:fldChar w:fldCharType="begin"/>
      </w:r>
      <w:r>
        <w:rPr>
          <w:lang w:val="es-AR" w:eastAsia="es-AR" w:bidi="es-AR"/>
        </w:rPr>
        <w:instrText xml:space="preserve"> HYPERLINK \l "FN45" </w:instrText>
      </w:r>
      <w:r>
        <w:rPr>
          <w:lang w:val="es-AR" w:eastAsia="es-AR" w:bidi="es-AR"/>
        </w:rPr>
        <w:fldChar w:fldCharType="separate"/>
      </w:r>
      <w:r>
        <w:rPr>
          <w:color w:val="000000"/>
          <w:lang w:val="es-AR" w:eastAsia="es-AR" w:bidi="es-AR"/>
        </w:rPr>
        <w:fldChar w:fldCharType="end"/>
      </w:r>
      <w:r>
        <w:rPr>
          <w:color w:val="000000"/>
          <w:lang w:val="es-AR" w:eastAsia="es-AR" w:bidi="es-AR"/>
        </w:rPr>
        <w:t xml:space="preserve">,  máxime cuando dentro de tal sistema se insertan los derechos de millones de personas que muchas veces no cuentan con la posibilidad de acudir a otra alternativa.-</w:t>
      </w:r>
    </w:p>
    <w:p>
      <w:pPr>
        <w:pStyle w:val="[Normal]"/>
        <w:spacing w:line="360" w:lineRule="auto"/>
        <w:ind w:firstLine="1134"/>
        <w:jc w:val="both"/>
        <w:rPr>
          <w:color w:val="000000"/>
          <w:lang w:val="es-AR" w:eastAsia="es-AR" w:bidi="es-AR"/>
        </w:rPr>
      </w:pPr>
      <w:r>
        <w:rPr>
          <w:color w:val="000000"/>
          <w:lang w:val="es-AR" w:eastAsia="es-AR" w:bidi="es-AR"/>
        </w:rPr>
        <w:t xml:space="preserve">Considero entonces que la extensión conferida a la obligación de seguridad bancaria, guarda adecuada coherencia sistémica con las reglas y principios que rigen en el sistema iusprivatista argentino y, por sobre todo, con el criterio protectorio que domina en las relaciones de consumo, cuya vigencia, lejos de rehuir a la realidad específica de las transacciones bancarias, adquiere aquí una intensidad mayor atento a que la situación de vulnerabilidad cognoscitiva, técnica y económica del usuario bancario tiende a profundizarse en este ámbito.-</w:t>
      </w:r>
    </w:p>
    <w:p>
      <w:pPr>
        <w:pStyle w:val="[Normal]"/>
        <w:spacing w:line="360" w:lineRule="auto"/>
        <w:ind w:firstLine="1134"/>
        <w:jc w:val="both"/>
        <w:rPr>
          <w:color w:val="000000"/>
          <w:lang w:val="es-AR" w:eastAsia="es-AR" w:bidi="es-AR"/>
        </w:rPr>
      </w:pPr>
      <w:r>
        <w:rPr>
          <w:color w:val="000000"/>
          <w:lang w:val="es-AR" w:eastAsia="es-AR" w:bidi="es-AR"/>
        </w:rPr>
        <w:t xml:space="preserve">De la aplicación de las reglas y principios vigentes en el orden jurídico se desprende que los consumidores financieros requieren en el entorno digital de una protección mayor a la que reciben en el mundo físico. Como bien explica Tambussi, </w:t>
      </w:r>
      <w:r>
        <w:rPr>
          <w:i/>
          <w:color w:val="000000"/>
          <w:lang w:val="es-AR" w:eastAsia="es-AR" w:bidi="es-AR"/>
        </w:rPr>
        <w:t xml:space="preserve">"el sistema de comercio por medios electrónicos agrava las obligaciones de las entidades bancarias porque presupone el uso de una tecnología que exige un mayor conocimiento de su parte. En estos casos hay empresas que actúan profesionalmente y consumidores que no son expertos, en los que la distancia económica y cognoscitiva que existe en el mundo real se profundiza en el mundo virtual (…)”</w:t>
      </w:r>
      <w:r>
        <w:rPr>
          <w:color w:val="000000"/>
          <w:lang w:val="es-AR" w:eastAsia="es-AR" w:bidi="es-AR"/>
        </w:rPr>
        <w:t xml:space="preserve">.- (TAMBUSSI, Carlos E., Relación de consumo y responsabilidad objetiva entre los usuarios de plataformas de venta y el proveedor del servicio. LA LEY, 2018-C, 101; RCyS 2018-VII, 59; AR/DOC/789/2018).</w:t>
      </w:r>
    </w:p>
    <w:p>
      <w:pPr>
        <w:pStyle w:val="[Normal]"/>
        <w:spacing w:line="360" w:lineRule="auto"/>
        <w:ind w:firstLine="1134"/>
        <w:jc w:val="both"/>
        <w:rPr>
          <w:color w:val="000000"/>
          <w:lang w:val="es-AR" w:eastAsia="es-AR" w:bidi="es-AR"/>
        </w:rPr>
      </w:pPr>
      <w:r>
        <w:rPr>
          <w:color w:val="000000"/>
          <w:lang w:val="es-AR" w:eastAsia="es-AR" w:bidi="es-AR"/>
        </w:rPr>
        <w:t xml:space="preserve">III.- Sobre esta base conceptual y jurídica, he de proceder al análisis del primer agravio que fuera vertido por la parte demandada en relación en virtud del cual la sentencia habría incurrido en error al tener por  por configurada la maniobra ilícita y, sobre esa base, haber extendido responsabilidad al banco, toda vez que -a su entender- no existe prueba objetiva bastante ni sobre el hecho delictivo mismo ni sobre una intervención imputable al proveedor en su producción.</w:t>
      </w:r>
    </w:p>
    <w:p>
      <w:pPr>
        <w:pStyle w:val="[Normal]"/>
        <w:spacing w:line="360" w:lineRule="auto"/>
        <w:ind w:firstLine="1134"/>
        <w:jc w:val="both"/>
        <w:rPr>
          <w:color w:val="000000"/>
          <w:lang w:val="es-AR" w:eastAsia="es-AR" w:bidi="es-AR"/>
        </w:rPr>
      </w:pPr>
      <w:r>
        <w:rPr>
          <w:color w:val="000000"/>
          <w:lang w:val="es-AR" w:eastAsia="es-AR" w:bidi="es-AR"/>
        </w:rPr>
        <w:t xml:space="preserve">Anticipo que no habré de acoger el agravio. Ello así, pues parte de una premisa que no se corresponde con el modo en que fue trabada la litis ni con el fundamento de la responsabilidad receptado en la sentencia. En efecto, no era carga de la actora acreditar, con el grado de certeza propio del proceso penal, la exacta modalidad del hecho delictivo ni una </w:t>
      </w:r>
      <w:r>
        <w:rPr>
          <w:i/>
          <w:color w:val="000000"/>
          <w:lang w:val="es-AR" w:eastAsia="es-AR" w:bidi="es-AR"/>
        </w:rPr>
        <w:t xml:space="preserve">“participación activa”</w:t>
      </w:r>
      <w:r>
        <w:rPr>
          <w:color w:val="000000"/>
          <w:lang w:val="es-AR" w:eastAsia="es-AR" w:bidi="es-AR"/>
        </w:rPr>
        <w:t xml:space="preserve"> del Banco Provincia en la maniobra, desde que la condena no se edificó sobre la autoría material del proveedor en la estafa, sino sobre la ineficacia de una operatoria desconocida por la usuaria y sobre el incumplimiento del deber de seguridad y colaboración que pesa sobre la entidad financiera en el marco de una relación de consumo. La propia recurrente reconoce que la transferencia fue realizada con las credenciales y el token vinculados a la actora, pero tal dato, lejos de cerrar la discusión a su favor, imponía al banco extremar la demostración de que la operatoria se desarrolló en condiciones regulares y sin anomalías relevantes.</w:t>
      </w:r>
    </w:p>
    <w:p>
      <w:pPr>
        <w:pStyle w:val="[Normal]"/>
        <w:spacing w:line="360" w:lineRule="auto"/>
        <w:ind w:firstLine="1134"/>
        <w:jc w:val="both"/>
        <w:rPr>
          <w:color w:val="000000"/>
          <w:lang w:val="es-AR" w:eastAsia="es-AR" w:bidi="es-AR"/>
        </w:rPr>
      </w:pPr>
      <w:r>
        <w:rPr>
          <w:color w:val="000000"/>
          <w:lang w:val="es-AR" w:eastAsia="es-AR" w:bidi="es-AR"/>
        </w:rPr>
        <w:t xml:space="preserve">Empero, las constancias de la causa muestran una secuencia objetivamente irregular: activación del token de seguridad en un nuevo dispositivo a las 04:36 hs., alta de una cuenta destino desconocida a las 04:48 hs. y transferencia por U$S 9.200 en esa misma franja horaria,</w:t>
      </w:r>
      <w:r>
        <w:rPr>
          <w:color w:val="000000"/>
          <w:u w:val="single"/>
          <w:lang w:val="es-AR" w:eastAsia="es-AR" w:bidi="es-AR"/>
        </w:rPr>
        <w:t xml:space="preserve"> todo ello mientras la actora dormía</w:t>
      </w:r>
      <w:r>
        <w:rPr>
          <w:color w:val="000000"/>
          <w:lang w:val="es-AR" w:eastAsia="es-AR" w:bidi="es-AR"/>
        </w:rPr>
        <w:t xml:space="preserve"> y respecto de una cuenta utilizada para atesoramiento (ver prueba documental adjunta al escrito de demanda presentado el 26/05/2025). </w:t>
      </w:r>
    </w:p>
    <w:p>
      <w:pPr>
        <w:pStyle w:val="[Normal]"/>
        <w:spacing w:line="360" w:lineRule="auto"/>
        <w:ind w:firstLine="1134"/>
        <w:jc w:val="both"/>
        <w:rPr>
          <w:color w:val="000000"/>
          <w:lang w:val="es-AR" w:eastAsia="es-AR" w:bidi="es-AR"/>
        </w:rPr>
      </w:pPr>
      <w:r>
        <w:rPr>
          <w:color w:val="000000"/>
          <w:lang w:val="es-AR" w:eastAsia="es-AR" w:bidi="es-AR"/>
        </w:rPr>
        <w:t xml:space="preserve">A ello se suma que, según el informe incorporado a la causa penal, la IP de conexión al momento de la transferencia se encontraba geolocalizada en la ciudad de Buenos Aires (ver informe adjuntado en fecha 29/05/2025 por el Banco de la Pcia. de Bs. As. en la causa penal IPP </w:t>
      </w:r>
      <w:r>
        <w:rPr>
          <w:lang w:val="es-AR" w:eastAsia="es-AR" w:bidi="es-AR"/>
        </w:rPr>
        <w:t xml:space="preserve">N° 12-00-003009-25/00 en trámite ante la  U.F.I.y J. n° 5 departamental)</w:t>
      </w:r>
      <w:r>
        <w:rPr>
          <w:color w:val="000000"/>
          <w:lang w:val="es-AR" w:eastAsia="es-AR" w:bidi="es-AR"/>
        </w:rPr>
        <w:t xml:space="preserve">, extremo que no aparece conciliable, prima facie, con la situación de la actora en Pergamino y que robustece el carácter anómalo de la operación. La remisión de los correos electrónicos, además, fue sustancialmente admitida por la propia demandada al sostener que con ellos cumplió su deber de información. Tal reconocimiento indirecto tuvo lugar  originariamente en la contestación de demanda de fecha 17/06/2025 y luego es reiterada en la expresión de agravios de fecha 26/02/2026. </w:t>
      </w:r>
    </w:p>
    <w:p>
      <w:pPr>
        <w:pStyle w:val="[Normal]"/>
        <w:spacing w:line="360" w:lineRule="auto"/>
        <w:ind w:firstLine="1134"/>
        <w:jc w:val="both"/>
        <w:rPr>
          <w:color w:val="000000"/>
          <w:lang w:val="es-AR" w:eastAsia="es-AR" w:bidi="es-AR"/>
        </w:rPr>
      </w:pPr>
      <w:r>
        <w:rPr>
          <w:color w:val="000000"/>
          <w:lang w:val="es-AR" w:eastAsia="es-AR" w:bidi="es-AR"/>
        </w:rPr>
        <w:t xml:space="preserve">Tampoco puede soslayarse que la entidad bancaria se hallaba en inmejorables condiciones técnicas y documentales para esclarecer lo sucedido y, sin embargo, no allegó la documentación que le fuera requerida ni prestó la colaboración necesaria para la producción de las pericias contable e informática. </w:t>
      </w:r>
    </w:p>
    <w:p>
      <w:pPr>
        <w:pStyle w:val="[Normal]"/>
        <w:spacing w:line="360" w:lineRule="auto"/>
        <w:ind w:firstLine="1134"/>
        <w:jc w:val="both"/>
        <w:rPr>
          <w:color w:val="000000"/>
          <w:lang w:val="es-AR" w:eastAsia="es-AR" w:bidi="es-AR"/>
        </w:rPr>
      </w:pPr>
      <w:r>
        <w:rPr>
          <w:color w:val="000000"/>
          <w:lang w:val="es-AR" w:eastAsia="es-AR" w:bidi="es-AR"/>
        </w:rPr>
        <w:t xml:space="preserve">La sentencia ponderó expresamente esa omisión a la luz del art. 53 de la LDC, y tal razonamiento no ha sido eficazmente desvirtuado por el apelante. Si el banco pretendía exonerarse invocando la exclusiva conducta de la actora o la intervención de un tercero por quien no debía responder, incumbía a su parte aportar los elementos técnicos idóneos para demostrar tales extremos; no puede ahora ampararse en la falta de certeza absoluta sobre la mecánica del ilícito cuando fue justamente su conducta procesal omisiva la que frustró un mayor esclarecimiento del episodio.</w:t>
      </w:r>
    </w:p>
    <w:p>
      <w:pPr>
        <w:pStyle w:val="[Normal]"/>
        <w:spacing w:line="360" w:lineRule="auto"/>
        <w:ind w:firstLine="1134"/>
        <w:jc w:val="both"/>
        <w:rPr>
          <w:color w:val="000000"/>
          <w:lang w:val="es-AR" w:eastAsia="es-AR" w:bidi="es-AR"/>
        </w:rPr>
      </w:pPr>
      <w:r>
        <w:rPr>
          <w:color w:val="000000"/>
          <w:lang w:val="es-AR" w:eastAsia="es-AR" w:bidi="es-AR"/>
        </w:rPr>
        <w:t xml:space="preserve">En tales condiciones, el agravio no pasa de exteriorizar una discrepancia con la valoración efectuada en la instancia de origen, pero no logra conmover la conclusión central del fallo: que se trató de una transferencia no consentida, objetivamente anómala, ejecutada en un contexto que imponía mayores recaudos de prevención y control, sin que la demandada demostrara eximente bastante para neutralizar la responsabilidad que le atribuye el régimen consumeril. </w:t>
      </w:r>
    </w:p>
    <w:p>
      <w:pPr>
        <w:pStyle w:val="[Normal]"/>
        <w:spacing w:line="360" w:lineRule="auto"/>
        <w:ind w:firstLine="1134"/>
        <w:jc w:val="both"/>
        <w:rPr>
          <w:color w:val="000000"/>
          <w:lang w:val="es-AR" w:eastAsia="es-AR" w:bidi="es-AR"/>
        </w:rPr>
      </w:pPr>
      <w:r>
        <w:rPr>
          <w:color w:val="000000"/>
          <w:lang w:val="es-AR" w:eastAsia="es-AR" w:bidi="es-AR"/>
        </w:rPr>
        <w:t xml:space="preserve">Por consiguiente, corresponde desestimar este segmento de la crítica y confirmar lo resuelto sobre el punto.</w:t>
      </w:r>
    </w:p>
    <w:p>
      <w:pPr>
        <w:pStyle w:val="[Normal]"/>
        <w:spacing w:line="360" w:lineRule="auto"/>
        <w:ind w:firstLine="1134"/>
        <w:jc w:val="both"/>
        <w:rPr>
          <w:color w:val="000000"/>
          <w:lang w:val="es-AR" w:eastAsia="es-AR" w:bidi="es-AR"/>
        </w:rPr>
      </w:pPr>
      <w:r>
        <w:rPr>
          <w:color w:val="000000"/>
          <w:lang w:val="es-AR" w:eastAsia="es-AR" w:bidi="es-AR"/>
        </w:rPr>
        <w:t xml:space="preserve">IV. Transitando al agravio relativo a la inexistencia de incumplimiento contractual de la parte demandada por cuanto la operatoria se habría cursado regularmente con credenciales válidas de la actora, sin falla del servicio ni nexo causal jurídicamente relevante atribuible a la entidad, tampoco habré de asumir una tesitura favorable a la recepción del recurso.</w:t>
      </w:r>
    </w:p>
    <w:p>
      <w:pPr>
        <w:pStyle w:val="[Normal]"/>
        <w:spacing w:line="360" w:lineRule="auto"/>
        <w:ind w:firstLine="1134"/>
        <w:jc w:val="both"/>
        <w:rPr>
          <w:color w:val="000000"/>
          <w:lang w:val="es-AR" w:eastAsia="es-AR" w:bidi="es-AR"/>
        </w:rPr>
      </w:pPr>
      <w:r>
        <w:rPr>
          <w:color w:val="000000"/>
          <w:lang w:val="es-AR" w:eastAsia="es-AR" w:bidi="es-AR"/>
        </w:rPr>
        <w:t xml:space="preserve">Ello así, porque el planteo de la demandada parte de identificar la utilización de credenciales válidas con la regularidad jurídica de la operatoria, cuando precisamente lo discutido en autos es si esa validación formal bastaba para tener por consentida una transferencia que la actora desconoció y que se insertó en una secuencia objetivamente anómala.</w:t>
      </w:r>
    </w:p>
    <w:p>
      <w:pPr>
        <w:pStyle w:val="[Normal]"/>
        <w:spacing w:line="360" w:lineRule="auto"/>
        <w:ind w:firstLine="1134"/>
        <w:jc w:val="both"/>
        <w:rPr>
          <w:color w:val="000000"/>
          <w:lang w:val="es-AR" w:eastAsia="es-AR" w:bidi="es-AR"/>
        </w:rPr>
      </w:pPr>
      <w:r>
        <w:rPr>
          <w:color w:val="000000"/>
          <w:lang w:val="es-AR" w:eastAsia="es-AR" w:bidi="es-AR"/>
        </w:rPr>
        <w:t xml:space="preserve">En efecto, la prueba documental incorporada con la demanda exhibe que en la madrugada del 19/05/2025 se activó el token de seguridad en un nuevo dispositivo a las 04:36 hs., se dio de alta una cuenta destino a las 04:48 hs. y, en esa misma franja, se cursó una transferencia por U$S 9.200; y la propia demandada, al contestar demanda, admitió sustancialmente la remisión de esos correos al sostener que con ellos informó la operación sospechosa.</w:t>
      </w:r>
    </w:p>
    <w:p>
      <w:pPr>
        <w:pStyle w:val="[Normal]"/>
        <w:spacing w:line="360" w:lineRule="auto"/>
        <w:ind w:firstLine="1134"/>
        <w:jc w:val="both"/>
        <w:rPr>
          <w:color w:val="000000"/>
          <w:lang w:val="es-AR" w:eastAsia="es-AR" w:bidi="es-AR"/>
        </w:rPr>
      </w:pPr>
      <w:r>
        <w:rPr>
          <w:color w:val="000000"/>
          <w:lang w:val="es-AR" w:eastAsia="es-AR" w:bidi="es-AR"/>
        </w:rPr>
        <w:t xml:space="preserve">Desde esa perspectiva, el mero hecho de que la operación se hubiera ejecutado a través de los canales habilitados y mediante usuario, clave y token no alcanza, por sí solo, para excluir el incumplimiento del banco ni para quebrar el nexo causal. Antes bien, en el marco de una relación de consumo y frente a una operatoria electrónicamente controvertida, incumbía a la entidad financiera -por hallarse en mejor situación técnica, informática y documental- aportar los elementos idóneos para demostrar que el procedimiento se desarrolló sin irregularidades relevantes y con adecuados recaudos de seguridad. </w:t>
      </w:r>
    </w:p>
    <w:p>
      <w:pPr>
        <w:pStyle w:val="[Normal]"/>
        <w:spacing w:line="360" w:lineRule="auto"/>
        <w:ind w:firstLine="1134"/>
        <w:jc w:val="both"/>
        <w:rPr>
          <w:color w:val="000000"/>
          <w:lang w:val="es-AR" w:eastAsia="es-AR" w:bidi="es-AR"/>
        </w:rPr>
      </w:pPr>
      <w:r>
        <w:rPr>
          <w:color w:val="000000"/>
          <w:lang w:val="es-AR" w:eastAsia="es-AR" w:bidi="es-AR"/>
        </w:rPr>
        <w:t xml:space="preserve">Sin embargo, de las constancias de autos surge que la pericia contable no pudo completarse justamente porque el experto requirió al banco la remisión de los movimientos de la cuenta para verificar la existencia de vínculo transaccional con la CBU de destino, sin que esa información aparezca eficazmente producida en el expediente. Esa insuficiencia probatoria, unida al deber de colaboración reforzado que pesa sobre el proveedor, impide acoger la tesis exculpatoria del apelante.</w:t>
      </w:r>
    </w:p>
    <w:p>
      <w:pPr>
        <w:pStyle w:val="[Normal]"/>
        <w:spacing w:line="360" w:lineRule="auto"/>
        <w:ind w:firstLine="1134"/>
        <w:jc w:val="both"/>
        <w:rPr>
          <w:color w:val="000000"/>
          <w:lang w:val="es-AR" w:eastAsia="es-AR" w:bidi="es-AR"/>
        </w:rPr>
      </w:pPr>
      <w:r>
        <w:rPr>
          <w:color w:val="000000"/>
          <w:lang w:val="es-AR" w:eastAsia="es-AR" w:bidi="es-AR"/>
        </w:rPr>
        <w:t xml:space="preserve">En suma, la recurrente no logra desvirtuar la conclusión central del fallo: que no quedó acreditado un obrar diligente y bastante del banco en orden a la prevención, control y esclarecimiento de la operatoria impugnada.</w:t>
      </w:r>
    </w:p>
    <w:p>
      <w:pPr>
        <w:pStyle w:val="[Normal]"/>
        <w:spacing w:line="360" w:lineRule="auto"/>
        <w:ind w:firstLine="1134"/>
        <w:jc w:val="both"/>
        <w:rPr>
          <w:rFonts w:ascii="Calibri" w:hAnsi="Calibri" w:eastAsia="Calibri" w:cs="Calibri"/>
          <w:lang w:val="es-AR" w:eastAsia="es-AR" w:bidi="es-AR"/>
        </w:rPr>
      </w:pPr>
      <w:r>
        <w:rPr>
          <w:color w:val="000000"/>
          <w:lang w:val="es-AR" w:eastAsia="es-AR" w:bidi="es-AR"/>
        </w:rPr>
        <w:t xml:space="preserve">No altera la conclusión precedente la objeción de la recurrente relativa a que parte de la normativa sectorial invocada no se hallaría vigente -o no tendría el alcance obligatorio pretendido- al momento de los hechos.	  	 	Esto se debe a que la solución del caso no descansa de modo exclusivo ni decisivo en la infracción a una comunicación puntual del BCRA, sino en un haz normativo más amplio integrado por la tutela constitucional del consumidor, la Ley 24.240, el régimen de contratos bancarios y el deber general de seguridad, información y buena fe que pesa sobre la entidad financiera en la prestación de servicios digitales.	</w:t>
        <w:br w:type="textWrapping"/>
      </w:r>
      <w:r>
        <w:rPr>
          <w:color w:val="000000"/>
          <w:lang w:val="es-AR" w:eastAsia="es-AR" w:bidi="es-AR"/>
        </w:rPr>
        <w:t xml:space="preserve"> 	Es un error común suponer que el mero cumplimiento de los recaudos de seguridad establecidos en las normativas del Banco Central exime a las entidades bancarias de cualquier responsabilidad emergente del incumplimiento de este deber. En efecto, los estándares fijados por la autoridad central de aplicación constituyen un tramo importante pero sólo parcial del contenido íntegro de la obligación de seguridad. El otro tramo es aquel determinado por aquellos recaudos de seguridad impuestos por las normas y principios legales, constitucionales, convencionales o consuetudinarias vigentes en la práctica bancaria, ya sea que éstos estén específicamente determinados o puedan inferirse razonablemente de tales fuentes en las circunstancias del caso concreto.	</w:t>
        <w:br w:type="textWrapping"/>
      </w:r>
      <w:r>
        <w:rPr>
          <w:color w:val="000000"/>
          <w:lang w:val="es-AR" w:eastAsia="es-AR" w:bidi="es-AR"/>
        </w:rPr>
        <w:t xml:space="preserve">	Tal como puntualiza el voto del doctor Lorenzetti en un precedente de nuestro Máximo Tribunal  </w:t>
      </w:r>
      <w:r>
        <w:rPr>
          <w:i/>
          <w:color w:val="000000"/>
          <w:lang w:val="es-AR" w:eastAsia="es-AR" w:bidi="es-AR"/>
        </w:rPr>
        <w:t xml:space="preserve">"...una vez calificada la existencia de una relación de consumo, surge un deber de seguridad de fuente constitucional (art. 42, de la CN) y legal (arts. 5º y 6º, ley 24.240)". se desprenden con claridad dos grupos de deberes perfectamente diferenciados. El primero de ellos constituye un catálogo de medidas mínimas que obligatoriamente deben adoptar las entidades regidas por la norma, mientras que, lejos de agotarse allí el plexo de compromisos asumidos por estas instituciones, el restante grupo establece un deber de conducta indeterminado, sujeto a la específica ponderación de los riesgos previsibles, con base en los Estudios de Seguridad que habrán de efectuar estas instituciones, entre otras finalidades, con el objeto de proteger a las personas, y cuya adopción queda a exclusivo criterio y responsabilidad de las mismas"</w:t>
      </w:r>
      <w:r>
        <w:rPr>
          <w:color w:val="000000"/>
          <w:lang w:val="es-AR" w:eastAsia="es-AR" w:bidi="es-AR"/>
        </w:rPr>
        <w:t xml:space="preserve"> (CSJN, Fallos 329:646, 21/03/2006, "Ferreyra, Víctor D. y Ferreyra, Ramón c. VICOV SA s/ daños y perjuicios", consid. 6º).</w:t>
      </w:r>
    </w:p>
    <w:p>
      <w:pPr>
        <w:pStyle w:val="[Normal]"/>
        <w:spacing w:line="360" w:lineRule="auto"/>
        <w:ind w:firstLine="1134"/>
        <w:jc w:val="both"/>
        <w:rPr>
          <w:rFonts w:ascii="Calibri" w:hAnsi="Calibri" w:eastAsia="Calibri" w:cs="Calibri"/>
          <w:lang w:val="es-AR" w:eastAsia="es-AR" w:bidi="es-AR"/>
        </w:rPr>
      </w:pPr>
      <w:r>
        <w:rPr>
          <w:color w:val="000000"/>
          <w:lang w:val="es-AR" w:eastAsia="es-AR" w:bidi="es-AR"/>
        </w:rPr>
        <w:t xml:space="preserve">En tal entendimiento, se ha rechazado enérgicamente la premisa según la cual el cumplimiento de las medidas dispuestas por la autoridad de contralor funcionaría como  eximente suficiente para deslindar la responsabilidad a la entidad bancaria, habida cuenta de que el deber de seguridad les imprime </w:t>
      </w:r>
      <w:r>
        <w:rPr>
          <w:i/>
          <w:color w:val="000000"/>
          <w:lang w:val="es-AR" w:eastAsia="es-AR" w:bidi="es-AR"/>
        </w:rPr>
        <w:t xml:space="preserve">"algo más" </w:t>
      </w:r>
      <w:r>
        <w:rPr>
          <w:color w:val="000000"/>
          <w:lang w:val="es-AR" w:eastAsia="es-AR" w:bidi="es-AR"/>
        </w:rPr>
        <w:t xml:space="preserve">que la mera observancia a las disposiciones de la autoridad competente, es decir, los bancos deben procurar la eficacia de dichas recaudos como medio acorde para la satisfacción de la obligación de seguridad. En esta línea se ha decidido judicialmente que la obligación de seguridad no resulta abastecida por el solo cumplimiento de los recaudos promovidos por la normativa del BCRA en materia de seguridad (ONDARCUHU, José I., "Deber de seguridad en el servicio bancario", DCCyE 2014 (octubre), 275, Cita online: TR LALEY AR/DOC/3237/2014).</w:t>
      </w:r>
    </w:p>
    <w:p>
      <w:pPr>
        <w:pStyle w:val="[Normal]"/>
        <w:spacing w:line="360" w:lineRule="auto"/>
        <w:ind w:firstLine="1134"/>
        <w:jc w:val="both"/>
        <w:rPr>
          <w:color w:val="000000"/>
          <w:lang w:val="es-AR" w:eastAsia="es-AR" w:bidi="es-AR"/>
        </w:rPr>
      </w:pPr>
      <w:r>
        <w:rPr>
          <w:color w:val="000000"/>
          <w:lang w:val="es-AR" w:eastAsia="es-AR" w:bidi="es-AR"/>
        </w:rPr>
        <w:t xml:space="preserve">Esto significa que los bancos particulares pueden y, en su caso, deben adoptar por su cuenta mayores y más severos recaudos de seguridad que avancen incluso sobre los estándares mínimos establecidos por las reglamentaciones del Banco Central.  Es que el deber de cuidado exigible a las instituciones bancarias es sensiblemente mayor al cumplimiento de las medidas de la autoridad de aplicación, debiendo adoptar no solo las medidas de seguridad mínimas obligatorias sino las adecuadas y necesarias para cumplir con los estándares de cuidado fijados en las demás fuentes jurídicas vigentes en el ordenamiento jurídico argentino. 	</w:t>
      </w:r>
    </w:p>
    <w:p>
      <w:pPr>
        <w:pStyle w:val="[Normal]"/>
        <w:spacing w:line="360" w:lineRule="auto"/>
        <w:ind w:firstLine="1134"/>
        <w:jc w:val="both"/>
        <w:rPr>
          <w:lang w:val="es-AR" w:eastAsia="es-AR" w:bidi="es-AR"/>
        </w:rPr>
      </w:pPr>
      <w:r>
        <w:rPr>
          <w:lang w:val="es-AR" w:eastAsia="es-AR" w:bidi="es-AR"/>
        </w:rPr>
        <w:t xml:space="preserve">En tal dirección, adheriré al criterio sentado por mi colega Dra. Scaraffía quien Causa  N° 4217-21  </w:t>
      </w:r>
      <w:r>
        <w:rPr>
          <w:i/>
          <w:lang w:val="es-AR" w:eastAsia="es-AR" w:bidi="es-AR"/>
        </w:rPr>
        <w:t xml:space="preserve">"Juárez, Andrea Natalia c/ Banco de la Provincia de Buenos Aires s/ Medidas Cautelares (Traba/Levantamiento)"</w:t>
      </w:r>
      <w:r>
        <w:rPr>
          <w:lang w:val="es-AR" w:eastAsia="es-AR" w:bidi="es-AR"/>
        </w:rPr>
        <w:t xml:space="preserve">. Registro N° 52 / 2021: "</w:t>
      </w:r>
      <w:r>
        <w:rPr>
          <w:i/>
          <w:lang w:val="es-AR" w:eastAsia="es-AR" w:bidi="es-AR"/>
        </w:rPr>
        <w:t xml:space="preserve">la genuinidad no sólo implica la adopción de recaudos tendientes a asegurar que la operación se concrete a través del token que instrumenta la firma electrónica de la actora (autenticidad interna), sino también de aquellas otras prevenciones que resultan aptas para reducir los riesgos de que este dispositivo pueda ser utilizado ilegítimamente por personas distintas de su titular (autenticidad externa). En la especie, la verificación adicional de la operatoria a través de otro medio de comunicación resultaba prima facie un cuidado razonablemente exigible y proporcionado que podría haber evitado la consumación de conductas tipificadas por la ley penal".-</w:t>
      </w:r>
    </w:p>
    <w:p>
      <w:pPr>
        <w:pStyle w:val="[Normal]"/>
        <w:spacing w:line="360" w:lineRule="auto"/>
        <w:ind w:firstLine="1134"/>
        <w:jc w:val="both"/>
        <w:rPr>
          <w:color w:val="000000"/>
          <w:lang w:val="es-AR" w:eastAsia="es-AR" w:bidi="es-AR"/>
        </w:rPr>
      </w:pPr>
      <w:r>
        <w:rPr>
          <w:color w:val="000000"/>
          <w:lang w:val="es-AR" w:eastAsia="es-AR" w:bidi="es-AR"/>
        </w:rPr>
        <w:t xml:space="preserve">De manera que aun prescindiendo de aquella reglamentación específica cuya aplicabilidad temporal discute la apelante, subsisten incólumes los datos objetivos de la operatoria controvertida, la falta de acreditación suficiente acerca de la regularidad del procedimiento y la insuficiencia de la actividad probatoria y colaborativa desplegada por el banco, extremos todos que bastan para mantener el juicio de incumplimiento.</w:t>
      </w:r>
    </w:p>
    <w:p>
      <w:pPr>
        <w:pStyle w:val="[Normal]"/>
        <w:spacing w:line="360" w:lineRule="auto"/>
        <w:ind w:firstLine="1134"/>
        <w:jc w:val="both"/>
        <w:rPr>
          <w:color w:val="000000"/>
          <w:lang w:val="es-AR" w:eastAsia="es-AR" w:bidi="es-AR"/>
        </w:rPr>
      </w:pPr>
      <w:r>
        <w:rPr>
          <w:color w:val="000000"/>
          <w:lang w:val="es-AR" w:eastAsia="es-AR" w:bidi="es-AR"/>
        </w:rPr>
        <w:t xml:space="preserve">Por ello, corresponde desestimar el agravio y confirmar, en este punto, la decisión que tuvo por configurado el incumplimiento de la entidad, con la consiguiente subsistencia de la condena principal..</w:t>
      </w:r>
    </w:p>
    <w:p>
      <w:pPr>
        <w:pStyle w:val="[Normal]"/>
        <w:spacing w:line="360" w:lineRule="auto"/>
        <w:ind w:firstLine="1134"/>
        <w:jc w:val="both"/>
        <w:rPr>
          <w:lang w:val="es-AR" w:eastAsia="es-AR" w:bidi="es-AR"/>
        </w:rPr>
      </w:pPr>
      <w:r>
        <w:rPr>
          <w:color w:val="000000"/>
          <w:lang w:val="es-AR" w:eastAsia="es-AR" w:bidi="es-AR"/>
        </w:rPr>
        <w:t xml:space="preserve">V. En lo relativo </w:t>
      </w:r>
      <w:r>
        <w:rPr>
          <w:lang w:val="es-AR" w:eastAsia="es-AR" w:bidi="es-AR"/>
        </w:rPr>
        <w:t xml:space="preserve">al agravio relativo a la indebida desestimación de la culpa de la víctima como eximente de responsabilidad por cuanto se habría acreditado que la maniobra se concretó a partir de la entrega voluntaria de las claves y del token por parte de la propia actora a terceros ajenos al banco, he de seguir similar tesitura.</w:t>
      </w:r>
    </w:p>
    <w:p>
      <w:pPr>
        <w:pStyle w:val="[Normal]"/>
        <w:spacing w:line="360" w:lineRule="auto"/>
        <w:ind w:firstLine="1134"/>
        <w:jc w:val="both"/>
        <w:rPr>
          <w:lang w:val="es-AR" w:eastAsia="es-AR" w:bidi="es-AR"/>
        </w:rPr>
      </w:pPr>
      <w:r>
        <w:rPr>
          <w:lang w:val="es-AR" w:eastAsia="es-AR" w:bidi="es-AR"/>
        </w:rPr>
        <w:t xml:space="preserve">Ello así en tanto no advierto que la conducta de la actora haya interrumpido el nexo causal que la demandada pregona, ni en forma total o parcial, puesto que la causalidad jurídica de la secuencia dañosa se hallaba indisolublemente unida a la inobservancia de los deberes de vigilancia que la entidad bancaria debería haber adoptado (art. 5 y 40 ley 24240 y 9 de la ley 25.326; arts 384 y 474 del CPCC y su doctrina).-</w:t>
      </w:r>
    </w:p>
    <w:p>
      <w:pPr>
        <w:pStyle w:val="[Normal]"/>
        <w:spacing w:line="360" w:lineRule="auto"/>
        <w:ind w:firstLine="1134"/>
        <w:jc w:val="both"/>
        <w:rPr>
          <w:color w:val="000000"/>
          <w:lang w:val="es-AR" w:eastAsia="es-AR" w:bidi="es-AR"/>
        </w:rPr>
      </w:pPr>
      <w:r>
        <w:rPr>
          <w:color w:val="000000"/>
          <w:lang w:val="es-AR" w:eastAsia="es-AR" w:bidi="es-AR"/>
        </w:rPr>
        <w:t xml:space="preserve">Es que siendo profesionales en la materia, los proveedores bancarios están obligados a contemplar estos riesgos y adoptar las medidas de prevención suficientes para garantizar la seguridad de los consumidores cuando operasen en los canales y vías digitales impuestos por aquellos.-</w:t>
      </w:r>
    </w:p>
    <w:p>
      <w:pPr>
        <w:pStyle w:val="[Normal]"/>
        <w:spacing w:line="360" w:lineRule="auto"/>
        <w:ind w:firstLine="1134"/>
        <w:jc w:val="both"/>
        <w:rPr>
          <w:color w:val="000000"/>
          <w:lang w:val="es-AR" w:eastAsia="es-AR" w:bidi="es-AR"/>
        </w:rPr>
      </w:pPr>
      <w:r>
        <w:rPr>
          <w:color w:val="000000"/>
          <w:lang w:val="es-AR" w:eastAsia="es-AR" w:bidi="es-AR"/>
        </w:rPr>
        <w:t xml:space="preserve">Por tal motivo, no resulta suficiente alegar que el consumidor se </w:t>
      </w:r>
      <w:r>
        <w:rPr>
          <w:i/>
          <w:color w:val="000000"/>
          <w:lang w:val="es-AR" w:eastAsia="es-AR" w:bidi="es-AR"/>
        </w:rPr>
        <w:t xml:space="preserve">"descuidó"</w:t>
      </w:r>
      <w:r>
        <w:rPr>
          <w:color w:val="000000"/>
          <w:lang w:val="es-AR" w:eastAsia="es-AR" w:bidi="es-AR"/>
        </w:rPr>
        <w:t xml:space="preserve"> y entregó sus claves cuando ello constituye un riesgo propio del entorno digital que el proveedor bancario decidió introducir, debiendo prever esta situación propia del entorno digital y adoptar todas las medidas de prevención tendientes a neutralizar esas estafas y fraudes.-</w:t>
      </w:r>
    </w:p>
    <w:p>
      <w:pPr>
        <w:pStyle w:val="[Normal]"/>
        <w:spacing w:line="360" w:lineRule="auto"/>
        <w:ind w:firstLine="1134"/>
        <w:jc w:val="both"/>
        <w:rPr>
          <w:color w:val="000000"/>
          <w:lang w:val="es-AR" w:eastAsia="es-AR" w:bidi="es-AR"/>
        </w:rPr>
      </w:pPr>
      <w:r>
        <w:rPr>
          <w:color w:val="000000"/>
          <w:lang w:val="es-AR" w:eastAsia="es-AR" w:bidi="es-AR"/>
        </w:rPr>
        <w:t xml:space="preserve">Sintetizando, es cuanto menos muy inseguro un sistema al que se accede con datos que el consumidor conoce. La peligrosidad del sistema es demasiado evidente y desde el punto de vista causal es determinante. De modo que el manejo irrestricto de la cuenta por el estafador no se produce -en términos de causalidad jurídica- porque el consumidor haya brindado los datos, sino porque el banco no tomó más precauciones -en un caso, cabe recalcar, en el que quedó probado que las podría haber tomado por los indicios sospechosos que rodearon la operatoria generadora del daño- para asegurarse de la identidad del usuario.-</w:t>
      </w:r>
    </w:p>
    <w:p>
      <w:pPr>
        <w:pStyle w:val="[Normal]"/>
        <w:spacing w:line="360" w:lineRule="auto"/>
        <w:ind w:firstLine="1134"/>
        <w:jc w:val="both"/>
        <w:rPr>
          <w:color w:val="000000"/>
          <w:lang w:val="es-AR" w:eastAsia="es-AR" w:bidi="es-AR"/>
        </w:rPr>
      </w:pPr>
      <w:r>
        <w:rPr>
          <w:color w:val="000000"/>
          <w:lang w:val="es-AR" w:eastAsia="es-AR" w:bidi="es-AR"/>
        </w:rPr>
        <w:t xml:space="preserve">Así pues, al realizar el análisis ex post facto para determinar la incidencia causal de las conductas del banco y de la víctima en la producción del daño, se puede concluir que si el proveedor hubiera optado por un sistema más seguro, el daño no hubiera ocurrido a pesar del hecho de la víctima. Este último sería inocuo, no pasaría de ser una condición o circunstancia incapaz de provocar el daño, pues los sistemas de seguridad lo hubieran evitado.-</w:t>
      </w:r>
    </w:p>
    <w:p>
      <w:pPr>
        <w:pStyle w:val="[Normal]"/>
        <w:spacing w:line="360" w:lineRule="auto"/>
        <w:ind w:firstLine="1134"/>
        <w:jc w:val="both"/>
        <w:rPr>
          <w:color w:val="000000"/>
          <w:lang w:val="es-AR" w:eastAsia="es-AR" w:bidi="es-AR"/>
        </w:rPr>
      </w:pPr>
      <w:r>
        <w:rPr>
          <w:color w:val="000000"/>
          <w:lang w:val="es-AR" w:eastAsia="es-AR" w:bidi="es-AR"/>
        </w:rPr>
        <w:t xml:space="preserve">El sistema no es ajeno al banco, sino que es impuesto y diseñado por la entidad, forma parte de su esfera de acción. Ello así, cuando se quiebre la seguridad del sistema, el hecho de la víctima no reunirá los requisitos para eximir de responsabilidad en cuanto no se tratará de un hecho exterior ajeno a la explotación, a las actividades, a las cosas de propiedad del deudor, a la obligación de seguridad.-</w:t>
      </w:r>
    </w:p>
    <w:p>
      <w:pPr>
        <w:pStyle w:val="[Normal]"/>
        <w:spacing w:line="360" w:lineRule="auto"/>
        <w:ind w:firstLine="1134"/>
        <w:jc w:val="both"/>
        <w:rPr>
          <w:color w:val="000000"/>
          <w:lang w:val="es-AR" w:eastAsia="es-AR" w:bidi="es-AR"/>
        </w:rPr>
      </w:pPr>
      <w:r>
        <w:rPr>
          <w:color w:val="000000"/>
          <w:lang w:val="es-AR" w:eastAsia="es-AR" w:bidi="es-AR"/>
        </w:rPr>
        <w:t xml:space="preserve">El otro aspecto en el que la entidad debió tomar más precauciones tuvo que ver con una segunda instancia de la estafa, en la que el impostor realizó actos a nombre del usuario. Resulta posible para el banco detectar e impedir actos irregulares.-</w:t>
      </w:r>
    </w:p>
    <w:p>
      <w:pPr>
        <w:pStyle w:val="[Normal]"/>
        <w:spacing w:line="360" w:lineRule="auto"/>
        <w:ind w:firstLine="1134"/>
        <w:jc w:val="both"/>
        <w:rPr>
          <w:color w:val="000000"/>
          <w:lang w:val="es-AR" w:eastAsia="es-AR" w:bidi="es-AR"/>
        </w:rPr>
      </w:pPr>
      <w:r>
        <w:rPr>
          <w:color w:val="000000"/>
          <w:lang w:val="es-AR" w:eastAsia="es-AR" w:bidi="es-AR"/>
        </w:rPr>
        <w:t xml:space="preserve">Por lo general se producen varios sucesos sospechosos en pocos minutos. Se cambian todos los datos de seguridad de la cuenta, como la dirección de correo electrónico y el número de teléfono a los que se enviarán mensajes de alerta. Entonces, estos ya no serán recibidos por el usuario sino por el impostor. Y como ello se puede hacer con los mismos datos que el estafador ya obtuvo del consumidor, el que debería ser el segundo nivel de verificación (el mensaje de alerta) queda desmantelado al superar el primer nivel.-</w:t>
      </w:r>
    </w:p>
    <w:p>
      <w:pPr>
        <w:pStyle w:val="[Normal]"/>
        <w:spacing w:line="360" w:lineRule="auto"/>
        <w:ind w:firstLine="1134"/>
        <w:jc w:val="both"/>
        <w:rPr>
          <w:color w:val="000000"/>
          <w:lang w:val="es-AR" w:eastAsia="es-AR" w:bidi="es-AR"/>
        </w:rPr>
      </w:pPr>
      <w:r>
        <w:rPr>
          <w:color w:val="000000"/>
          <w:lang w:val="es-AR" w:eastAsia="es-AR" w:bidi="es-AR"/>
        </w:rPr>
        <w:t xml:space="preserve">Asimismo, el hecho de que el ingreso se produzca desde un equipo y una ubicación que no es la habitual puede ser detectado fácilmente por los sistemas, igual que la registración de operaciones poco habituales en escaso tiempo deberían generar alertas para el banco que, por lo tanto, debería verificar si realmente emanan del cliente y bloquearlas cuando no sea así. De manera que el hecho de que el cliente haya brindado un par de datos no es causa suficiente y eficiente para la producción de la estafa, que no se podría concretar si la entidad bancaria cumpliera adecuadamente su obligación de seguridad y de prevenir los riesgos intrínsecos del sistema.-</w:t>
      </w:r>
    </w:p>
    <w:p>
      <w:pPr>
        <w:pStyle w:val="[Normal]"/>
        <w:spacing w:line="360" w:lineRule="auto"/>
        <w:ind w:firstLine="1134"/>
        <w:jc w:val="both"/>
        <w:rPr>
          <w:color w:val="000000"/>
          <w:lang w:val="es-AR" w:eastAsia="es-AR" w:bidi="es-AR"/>
        </w:rPr>
      </w:pPr>
      <w:r>
        <w:rPr>
          <w:color w:val="000000"/>
          <w:lang w:val="es-AR" w:eastAsia="es-AR" w:bidi="es-AR"/>
        </w:rPr>
        <w:t xml:space="preserve">VI.- En relación al agravio relativo a la procedencia del daño punitivo que fuera expuesto por la parte demandada, tampoco habré de admitir esta parcela del recurso. </w:t>
      </w:r>
    </w:p>
    <w:p>
      <w:pPr>
        <w:pStyle w:val="[Normal]"/>
        <w:spacing w:line="360" w:lineRule="auto"/>
        <w:ind w:firstLine="1134"/>
        <w:jc w:val="both"/>
        <w:rPr>
          <w:color w:val="000000"/>
          <w:lang w:val="es-AR" w:eastAsia="es-AR" w:bidi="es-AR"/>
        </w:rPr>
      </w:pPr>
      <w:r>
        <w:rPr>
          <w:color w:val="000000"/>
          <w:lang w:val="es-AR" w:eastAsia="es-AR" w:bidi="es-AR"/>
        </w:rPr>
        <w:t xml:space="preserve">En primer lugar, porque la crítica se asienta sobre una premisa que ya ha sido desestimada al tratar los agravios anteriores, esto es, la inexistencia de incumplimiento del proveedor. Si la responsabilidad del banco por la operatoria desconocida y por la insuficiencia de los recaudos de seguridad ha quedado confirmada, cae con ella el argumento basal mediante el cual la recurrente procura excluir la sanción punitiva.</w:t>
      </w:r>
    </w:p>
    <w:p>
      <w:pPr>
        <w:pStyle w:val="[Normal]"/>
        <w:spacing w:line="360" w:lineRule="auto"/>
        <w:ind w:firstLine="1134"/>
        <w:jc w:val="both"/>
        <w:rPr>
          <w:color w:val="000000"/>
          <w:lang w:val="es-AR" w:eastAsia="es-AR" w:bidi="es-AR"/>
        </w:rPr>
      </w:pPr>
      <w:r>
        <w:rPr>
          <w:color w:val="000000"/>
          <w:lang w:val="es-AR" w:eastAsia="es-AR" w:bidi="es-AR"/>
        </w:rPr>
        <w:t xml:space="preserve">Pero aun cuando se adopte el criterio restrictivo que la propia demandada invoca respecto del instituto, tampoco advierto que el caso se agote en un mero incumplimiento neutro o puramente objetivo. </w:t>
      </w:r>
    </w:p>
    <w:p>
      <w:pPr>
        <w:pStyle w:val="[Normal]"/>
        <w:spacing w:line="360" w:lineRule="auto"/>
        <w:ind w:firstLine="1134"/>
        <w:jc w:val="both"/>
        <w:rPr>
          <w:color w:val="000000"/>
          <w:lang w:val="es-AR" w:eastAsia="es-AR" w:bidi="es-AR"/>
        </w:rPr>
      </w:pPr>
      <w:r>
        <w:rPr>
          <w:color w:val="000000"/>
          <w:lang w:val="es-AR" w:eastAsia="es-AR" w:bidi="es-AR"/>
        </w:rPr>
        <w:t xml:space="preserve">La secuencia controvertida concluyó con el desapoderamiento de los ahorros de una usuaria en el ámbito de un servicio financiero digital, y la entidad -que se hallaba en mejor situación técnica y documental para esclarecer lo sucedido- no aportó los elementos indispensables para la producción de la prueba pericial. </w:t>
      </w:r>
    </w:p>
    <w:p>
      <w:pPr>
        <w:pStyle w:val="[Normal]"/>
        <w:spacing w:line="360" w:lineRule="auto"/>
        <w:ind w:firstLine="1134"/>
        <w:jc w:val="both"/>
        <w:rPr>
          <w:color w:val="000000"/>
          <w:lang w:val="es-AR" w:eastAsia="es-AR" w:bidi="es-AR"/>
        </w:rPr>
      </w:pPr>
      <w:r>
        <w:rPr>
          <w:color w:val="000000"/>
          <w:lang w:val="es-AR" w:eastAsia="es-AR" w:bidi="es-AR"/>
        </w:rPr>
        <w:t xml:space="preserve">Así, el perito contador informó primero la necesidad de requerir a la entidad bancaria los movimientos de la cuenta para determinar si existió vínculo transaccional con la CBU de destino y, luego, comunicó la imposibilidad de producir el peritaje porque el banco no remitió esa documentación; en sentido concordante, el perito informático dejó asentado que no recibió contacto alguno de la demandada ni tuvo a la vista la información necesaria para responder los puntos de pericia. Esa conducta omisiva no resulta indiferente al valorar la gravedad del obrar empresarial.</w:t>
      </w:r>
    </w:p>
    <w:p>
      <w:pPr>
        <w:pStyle w:val="[Normal]"/>
        <w:spacing w:line="360" w:lineRule="auto"/>
        <w:ind w:firstLine="1134"/>
        <w:jc w:val="both"/>
        <w:rPr>
          <w:color w:val="000000"/>
          <w:lang w:val="es-AR" w:eastAsia="es-AR" w:bidi="es-AR"/>
        </w:rPr>
      </w:pPr>
      <w:r>
        <w:rPr>
          <w:color w:val="000000"/>
          <w:lang w:val="es-AR" w:eastAsia="es-AR" w:bidi="es-AR"/>
        </w:rPr>
        <w:t xml:space="preserve">Ello encuentra respaldo, en lo que atañe a la pericia contable, en el escrito del perito Javier Gustavo San Martín de fecha 29/08/2025, mediante el cual requirió a la entidad bancaria la remisión de los movimientos de la cuenta de la actora para verificar la existencia de vínculo transaccional con la CBU de destino, y en su posterior presentación de fecha 21/10/2025, en la que informó la imposibilidad de producir el peritaje por no haber aportado el banco dicha documentación. </w:t>
      </w:r>
    </w:p>
    <w:p>
      <w:pPr>
        <w:pStyle w:val="[Normal]"/>
        <w:spacing w:line="360" w:lineRule="auto"/>
        <w:ind w:firstLine="1134"/>
        <w:jc w:val="both"/>
        <w:rPr>
          <w:color w:val="000000"/>
          <w:lang w:val="es-AR" w:eastAsia="es-AR" w:bidi="es-AR"/>
        </w:rPr>
      </w:pPr>
      <w:r>
        <w:rPr>
          <w:color w:val="000000"/>
          <w:lang w:val="es-AR" w:eastAsia="es-AR" w:bidi="es-AR"/>
        </w:rPr>
        <w:t xml:space="preserve">En lo concerniente a la pericia informática, lo afirmado surge del escrito de aceptación de cargo del perito Antonio Novo, de fecha 18/09/2025, en el que éste le solicitó a la demandada tomar contacto para coordinar la pericia, y de su ulterior informe de fecha 20/10/2025 que la labor pericial se produjo con las constancias obrantes en autos; sin que, al menos de la documentación aquí compulsada, emerja una manifestación textual del experto en el sentido de que el contacto o la colaboración requerida se hubiese concretado..</w:t>
      </w:r>
    </w:p>
    <w:p>
      <w:pPr>
        <w:pStyle w:val="[Normal]"/>
        <w:spacing w:line="360" w:lineRule="auto"/>
        <w:ind w:firstLine="1134"/>
        <w:jc w:val="both"/>
        <w:rPr>
          <w:color w:val="000000"/>
          <w:lang w:val="es-AR" w:eastAsia="es-AR" w:bidi="es-AR"/>
        </w:rPr>
      </w:pPr>
      <w:r>
        <w:rPr>
          <w:color w:val="000000"/>
          <w:lang w:val="es-AR" w:eastAsia="es-AR" w:bidi="es-AR"/>
        </w:rPr>
        <w:t xml:space="preserve">En tales condiciones, la sanción no aparece fundada solamente en la producción del daño, sino en un cuadro más amplio de desaprensión frente a los derechos de la consumidora: incumplimiento del deber de seguridad en una operatoria bancaria sensible y falta de cooperación eficaz para su posterior esclarecimiento en juicio. </w:t>
      </w:r>
    </w:p>
    <w:p>
      <w:pPr>
        <w:pStyle w:val="[Normal]"/>
        <w:spacing w:line="360" w:lineRule="auto"/>
        <w:ind w:firstLine="1134"/>
        <w:jc w:val="both"/>
        <w:rPr>
          <w:color w:val="000000"/>
          <w:lang w:val="es-AR" w:eastAsia="es-AR" w:bidi="es-AR"/>
        </w:rPr>
      </w:pPr>
      <w:r>
        <w:rPr>
          <w:color w:val="000000"/>
          <w:lang w:val="es-AR" w:eastAsia="es-AR" w:bidi="es-AR"/>
        </w:rPr>
        <w:t xml:space="preserve">Ello basta, a mi ver, para reputar configurado el presupuesto jurídico-axiológico que justifica la multa civil prevista en el art. 52 bis de la LDC, sin que sea menester acreditar un dolo directo en sentido penal ni una confesada voluntad de dañar. </w:t>
      </w:r>
    </w:p>
    <w:p>
      <w:pPr>
        <w:pStyle w:val="[Normal]"/>
        <w:spacing w:line="360" w:lineRule="auto"/>
        <w:ind w:firstLine="1134"/>
        <w:jc w:val="both"/>
        <w:rPr>
          <w:color w:val="000000"/>
          <w:lang w:val="es-AR" w:eastAsia="es-AR" w:bidi="es-AR"/>
        </w:rPr>
      </w:pPr>
      <w:r>
        <w:rPr>
          <w:color w:val="000000"/>
          <w:lang w:val="es-AR" w:eastAsia="es-AR" w:bidi="es-AR"/>
        </w:rPr>
        <w:t xml:space="preserve">Por consiguiente, corresponde desestimar el agravio y confirmar, en cuanto a su procedencia, la condena en concepto de daño punitivo.</w:t>
      </w:r>
    </w:p>
    <w:p>
      <w:pPr>
        <w:pStyle w:val="[Normal]"/>
        <w:spacing w:line="360" w:lineRule="auto"/>
        <w:ind w:firstLine="1134"/>
        <w:jc w:val="both"/>
        <w:rPr>
          <w:color w:val="000000"/>
          <w:lang w:val="es-AR" w:eastAsia="es-AR" w:bidi="es-AR"/>
        </w:rPr>
      </w:pPr>
      <w:r>
        <w:rPr>
          <w:color w:val="000000"/>
          <w:lang w:val="es-AR" w:eastAsia="es-AR" w:bidi="es-AR"/>
        </w:rPr>
        <w:t xml:space="preserve">VII.- En cuanto al agravio de la actora relativo a la insuficiente cuantificación del daño punitivo, habré de asumir un temperamento favorable a la recepción del agravio vertido.</w:t>
      </w:r>
    </w:p>
    <w:p>
      <w:pPr>
        <w:pStyle w:val="[Normal]"/>
        <w:spacing w:line="360" w:lineRule="auto"/>
        <w:ind w:firstLine="1134"/>
        <w:jc w:val="both"/>
        <w:rPr>
          <w:color w:val="000000"/>
          <w:lang w:val="es-AR" w:eastAsia="es-AR" w:bidi="es-AR"/>
        </w:rPr>
      </w:pPr>
      <w:r>
        <w:rPr>
          <w:color w:val="000000"/>
          <w:lang w:val="es-AR" w:eastAsia="es-AR" w:bidi="es-AR"/>
        </w:rPr>
        <w:t xml:space="preserve">Mi conclusión se apoconta en que el banco no solo incumplió el deber de seguridad, sino que además se desentendió del reclamo y mantuvo una actitud reticente durante la tramitación del pleito, con incomparecencia a la audiencia preliminar y falta de colaboración en la producción de las pericias, extremos que razonablemente proyectan un mayor reproche sobre su conducta.</w:t>
      </w:r>
    </w:p>
    <w:p>
      <w:pPr>
        <w:pStyle w:val="[Normal]"/>
        <w:spacing w:line="360" w:lineRule="auto"/>
        <w:ind w:firstLine="1134"/>
        <w:jc w:val="both"/>
        <w:rPr>
          <w:color w:val="000000"/>
          <w:lang w:val="es-AR" w:eastAsia="es-AR" w:bidi="es-AR"/>
        </w:rPr>
      </w:pPr>
      <w:r>
        <w:rPr>
          <w:color w:val="000000"/>
          <w:lang w:val="es-AR" w:eastAsia="es-AR" w:bidi="es-AR"/>
        </w:rPr>
        <w:t xml:space="preserve">A mi juicio, el ilícito punitivo aquí no debe mensurarse únicamente a la luz del episodio dañoso inicial, sino también considerando la conducta procesal ulterior del proveedor dentro de un proceso de consumo, pues es precisamente en ese ámbito donde el deber de colaboración adquiere una singular intensidad. </w:t>
      </w:r>
    </w:p>
    <w:p>
      <w:pPr>
        <w:pStyle w:val="[Normal]"/>
        <w:spacing w:line="360" w:lineRule="auto"/>
        <w:ind w:firstLine="1134"/>
        <w:jc w:val="both"/>
        <w:rPr>
          <w:color w:val="000000"/>
          <w:lang w:val="es-AR" w:eastAsia="es-AR" w:bidi="es-AR"/>
        </w:rPr>
      </w:pPr>
      <w:r>
        <w:rPr>
          <w:color w:val="000000"/>
          <w:lang w:val="es-AR" w:eastAsia="es-AR" w:bidi="es-AR"/>
        </w:rPr>
        <w:t xml:space="preserve">No puede perderse de vista que el banco demandado se encontraba en una posición técnica, informática y documental ostensiblemente superior para aportar explicaciones serias sobre la mecánica de la operatoria controvertida, esclarecer la trazabilidad de la transferencia y posibilitar la producción de las medidas periciales. </w:t>
      </w:r>
    </w:p>
    <w:p>
      <w:pPr>
        <w:pStyle w:val="[Normal]"/>
        <w:spacing w:line="360" w:lineRule="auto"/>
        <w:ind w:firstLine="1134"/>
        <w:jc w:val="both"/>
        <w:rPr>
          <w:color w:val="000000"/>
          <w:lang w:val="es-AR" w:eastAsia="es-AR" w:bidi="es-AR"/>
        </w:rPr>
      </w:pPr>
      <w:r>
        <w:rPr>
          <w:color w:val="000000"/>
          <w:lang w:val="es-AR" w:eastAsia="es-AR" w:bidi="es-AR"/>
        </w:rPr>
        <w:t xml:space="preserve">Sin embargo, el perito contador informó primero la necesidad de contar con los movimientos bancarios de la cuenta de la actora para verificar la existencia de vínculo transaccional con la CBU de destino y, más tarde, comunicó la imposibilidad de producir el peritaje justamente porque la entidad no aportó esa documentación. De modo concordante, el perito informático solicitó expresamente a la demandada que tomara contacto para coordinar la pericia con resultado posterior igualmente infructuoso. Esa actitud omisiva, proveniente de un proveedor especializado e institucionalizado, excede la mera defensa procesal y revela una grave desatención respecto de los deberes de cooperación que pesan sobre quien se halla en mejores condiciones de esclarecer los hechos debatidos.</w:t>
      </w:r>
    </w:p>
    <w:p>
      <w:pPr>
        <w:pStyle w:val="[Normal]"/>
        <w:spacing w:line="360" w:lineRule="auto"/>
        <w:ind w:firstLine="1134"/>
        <w:jc w:val="both"/>
        <w:rPr>
          <w:color w:val="000000"/>
          <w:lang w:val="es-AR" w:eastAsia="es-AR" w:bidi="es-AR"/>
        </w:rPr>
      </w:pPr>
      <w:r>
        <w:rPr>
          <w:color w:val="000000"/>
          <w:lang w:val="es-AR" w:eastAsia="es-AR" w:bidi="es-AR"/>
        </w:rPr>
        <w:t xml:space="preserve">A ello se suma un dato que agrava el juicio de reproche: la notoria incoherencia procesal desplegada por la demandada en torno a la documental. Por un lado, la propia sentencia de grado dejó asentado que, al contestar demanda, el banco negó la autenticidad de la documental acompañada por la actora. Pero, por otro, en esa misma línea defensiva sostuvo que había informado la existencia de una transferencia sospechosa, que el correo respectivo fue debidamente recepcionado por la actora y que con ello había cumplido su deber de información. Es decir, terminó apoyándose argumentalmente en la misma documentación electrónica cuyo valor había resistido, al menos en forma global, para intentar eximirse de responsabilidad. </w:t>
      </w:r>
    </w:p>
    <w:p>
      <w:pPr>
        <w:pStyle w:val="[Normal]"/>
        <w:spacing w:line="360" w:lineRule="auto"/>
        <w:ind w:firstLine="1134"/>
        <w:jc w:val="both"/>
        <w:rPr>
          <w:color w:val="000000"/>
          <w:lang w:val="es-AR" w:eastAsia="es-AR" w:bidi="es-AR"/>
        </w:rPr>
      </w:pPr>
      <w:r>
        <w:rPr>
          <w:color w:val="000000"/>
          <w:lang w:val="es-AR" w:eastAsia="es-AR" w:bidi="es-AR"/>
        </w:rPr>
        <w:t xml:space="preserve">Esa oscilación no puede ser trivializada. En un proceso regido por la buena fe, la probidad y la colaboración reforzada del proveedor, no resulta admisible negar la fuerza de una documental cuando su reconocimiento conviene a la defensa y desconocerla cuando compromete la responsabilidad propia. Tales contradicciones, lejos de ser inocuas, consolidan la idea de una estrategia procesal inconducente y dilatoria que acrecienta la necesidad de una respuesta punitiva suficientemente significativa.</w:t>
      </w:r>
    </w:p>
    <w:p>
      <w:pPr>
        <w:pStyle w:val="[Normal]"/>
        <w:spacing w:line="360" w:lineRule="auto"/>
        <w:ind w:firstLine="1134"/>
        <w:jc w:val="both"/>
        <w:rPr>
          <w:color w:val="000000"/>
          <w:lang w:val="es-AR" w:eastAsia="es-AR" w:bidi="es-AR"/>
        </w:rPr>
      </w:pPr>
      <w:r>
        <w:rPr>
          <w:color w:val="000000"/>
          <w:lang w:val="es-AR" w:eastAsia="es-AR" w:bidi="es-AR"/>
        </w:rPr>
        <w:t xml:space="preserve">En ese marco, la suma de $ 7.000.000 fijada por el a quo se muestra ligeramente insuficiente. No porque deba seguirse mecánicamente el parámetro cuantitativo sugerido por la actora, sino porque el monto impuesto no alcanza a traducir, con la fuerza necesaria, la mayor gravedad del incumplimiento y de la ulterior conducta procesal del banco.</w:t>
      </w:r>
    </w:p>
    <w:p>
      <w:pPr>
        <w:pStyle w:val="[Normal]"/>
        <w:spacing w:line="360" w:lineRule="auto"/>
        <w:ind w:firstLine="1134"/>
        <w:jc w:val="both"/>
        <w:rPr>
          <w:color w:val="000000"/>
          <w:lang w:val="es-AR" w:eastAsia="es-AR" w:bidi="es-AR"/>
        </w:rPr>
      </w:pPr>
      <w:r>
        <w:rPr>
          <w:color w:val="000000"/>
          <w:lang w:val="es-AR" w:eastAsia="es-AR" w:bidi="es-AR"/>
        </w:rPr>
        <w:t xml:space="preserve">Cuando el proveedor es una institución financiera de gran escala, con recursos técnicos, humanos y patrimoniales ostensiblemente superiores a los del consumidor, la sanción debe poseer una entidad bastante para que no se transforme en un mero costo de litigación o en una consecuencia económicamente inocua. Si el daño punitivo ha de cumplir una genuina función de prevención y disuasión, debe reflejar no solo el hecho dañoso sino también la seria falta de cooperación del demandado, su capacidad frustrada de aportar respuestas útiles y la incoherencia procesal con la que intentó sostener su posición. </w:t>
      </w:r>
    </w:p>
    <w:p>
      <w:pPr>
        <w:pStyle w:val="[Normal]"/>
        <w:spacing w:line="360" w:lineRule="auto"/>
        <w:ind w:firstLine="1134"/>
        <w:jc w:val="both"/>
        <w:rPr>
          <w:color w:val="000000"/>
          <w:lang w:val="es-AR" w:eastAsia="es-AR" w:bidi="es-AR"/>
        </w:rPr>
      </w:pPr>
      <w:r>
        <w:rPr>
          <w:color w:val="000000"/>
          <w:lang w:val="es-AR" w:eastAsia="es-AR" w:bidi="es-AR"/>
        </w:rPr>
        <w:t xml:space="preserve">Por tales razones, estimo que corresponde hacer lugar parcialmente al agravio y elevar la multa civil a la suma de pesos ocho millones ($ 8.000.000), importe que juzgo más adecuado para exteriorizar el reproche que aquí merece la conducta del Banco de la Provincia de Buenos Aires y para preservar la eficacia preventiva del instituto.</w:t>
      </w:r>
    </w:p>
    <w:p>
      <w:pPr>
        <w:pStyle w:val="[Normal]"/>
        <w:spacing w:line="360" w:lineRule="auto"/>
        <w:ind w:firstLine="1134"/>
        <w:jc w:val="both"/>
        <w:rPr>
          <w:lang w:val="es-AR" w:eastAsia="es-AR" w:bidi="es-AR"/>
        </w:rPr>
      </w:pPr>
      <w:r>
        <w:rPr>
          <w:color w:val="000000"/>
          <w:lang w:val="es-AR" w:eastAsia="es-AR" w:bidi="es-AR"/>
        </w:rPr>
        <w:t xml:space="preserve">En cuanto a los intereses aplicables a este rubro, haciéndome cargo de la crítica vertida por la parte actora, y en uso de las facultades emergentes </w:t>
      </w:r>
      <w:r>
        <w:rPr>
          <w:lang w:val="es-AR" w:eastAsia="es-AR" w:bidi="es-AR"/>
        </w:rPr>
        <w:t xml:space="preserve">del art. 273 del CPCC que habilita al tribunal a decidir sobre los puntos omitidos en la sentencia de primera instancia aunque no se hubiese pedido aclaratoria y siempre que se solicitare el respectivo pronunciamiento al expresar agravios, </w:t>
      </w:r>
      <w:r>
        <w:rPr>
          <w:color w:val="000000"/>
          <w:lang w:val="es-AR" w:eastAsia="es-AR" w:bidi="es-AR"/>
        </w:rPr>
        <w:t xml:space="preserve">he de dejar establecido que los mismos comenzarán a correr a partir de que los 10 días en que la sentencia de grado adquiera firmeza, aplicándose </w:t>
      </w:r>
      <w:r>
        <w:rPr>
          <w:lang w:val="es-AR" w:eastAsia="es-AR" w:bidi="es-AR"/>
        </w:rPr>
        <w:t xml:space="preserve">la tasa pasiva más alta fijada por el Banco de la Provincia de Buenos Aires en sus depósitos a treinta días, vigente al inicio de cada uno de los períodos comprendidos y, por aquellos días que no alcancen a cubrir el lapso señalado, el cálculo debe ser diario con igual tasa (conf. arts. 7, 768 inc. c) C.C.C.; 622, 623, Cód. Civ.) (SCBA, "Cabrera, Pablo David c/ Ferrari, Adrián Rubén s/ Daños y perjuicios", causa C. 119.176, 15/6/2016).</w:t>
      </w:r>
    </w:p>
    <w:p>
      <w:pPr>
        <w:pStyle w:val="[Normal]"/>
        <w:spacing w:line="360" w:lineRule="auto"/>
        <w:ind w:firstLine="1134"/>
        <w:jc w:val="both"/>
        <w:rPr>
          <w:lang w:val="es-AR" w:eastAsia="es-AR" w:bidi="es-AR"/>
        </w:rPr>
      </w:pPr>
      <w:r>
        <w:rPr>
          <w:lang w:val="es-AR" w:eastAsia="es-AR" w:bidi="es-AR"/>
        </w:rPr>
        <w:t xml:space="preserve"> Este mismo criterio ha sido desarrollado de manera más amplia en otro precedente que cito a continuación: </w:t>
      </w:r>
      <w:r>
        <w:rPr>
          <w:i/>
          <w:lang w:val="es-AR" w:eastAsia="es-AR" w:bidi="es-AR"/>
        </w:rPr>
        <w:t xml:space="preserve">"En lo que refiere a la fecha de inicio del cómputo de los intereses correspondientes a la sanción punitiva, si bien es cierto que los accesorios debidos por una indemnización de un hecho se deben en principio a partir del mismo, porque es aquél el que fija la mora ex re, posibilitando la indemnización integral que inspira en esta materia a nuestra legislación, lo cierto es que la imposición del art. 52 bis de la norma consumeril carece de naturaleza resarcitoria -no es una indemnización ni tiene por objeto mantener la indemnidad de la víctima- dado que está asociada a la idea de prevención de daños futuros, con neto objetivo sancionatorio (cfr. Vázquez Ferreyra, Roberto "La Naturaleza Jurídica de los Daños Punitivos”, pág. 104 y sgtes. en Revista de Derecho de Daños , 2011-2 Daño Punitivo, Rubinzal - Culzoni Editores; Galdós, Jorge Mario “Los Daños Punitivos en la Ley de Defensa del Consumidor", en "Tratado del Derecho de Consumidor" de Stiglitz-Hernández, Tomo III, pág. 263, Ed. Thomson Reuters La Ley - 2015), y por lo tanto, no está sujeta a aquella pauta general aplicable a los rubros resarcitorios. De ahí entonces que sólo ha de devengar intereses en caso de mora en el cumplimiento del pago de la sanción, la que se produce una vez vencido el plazo estipulado en el fallo para el cumplimiento de la sentencia"</w:t>
      </w:r>
      <w:r>
        <w:rPr>
          <w:lang w:val="es-AR" w:eastAsia="es-AR" w:bidi="es-AR"/>
        </w:rPr>
        <w:t xml:space="preserve"> (cfr. Cámara de Apel. en lo Civ. y Com. de Necochea "Ajargo, Claudio Esteban c. BBVA Banco Francés S.A. s/ daños y perjuicios". 09/06/16 Expte. 10518; Cámara 1ra. de Apelaciones en lo Civil y Comercial de Bahía Blanca, Sala II; in re "C., M. C. c. Banco de Galicia y Buenos Aires S.A. s/ nulidad de acto jurídico", sent. del 28/08/14, publicado en JA, 2014-IV-197; Ídem, Cám. Apelaciones Civil y Com. de Mar del Plata, Sala Tercera, in re "Vignolles María de los Ángeles c/ San Cristóbal Seguros Generales SA s/Daños y Perjuicios - Incumplimiento Contractual (Exc. Estado), reg. int. 264 (S), F° 1329/1347, sent. del 09/12/15)".</w:t>
      </w:r>
    </w:p>
    <w:p>
      <w:pPr>
        <w:pStyle w:val="[Normal]"/>
        <w:spacing w:line="360" w:lineRule="auto"/>
        <w:ind w:firstLine="1134"/>
        <w:jc w:val="both"/>
        <w:rPr>
          <w:color w:val="000000"/>
          <w:lang w:val="es-AR" w:eastAsia="es-AR" w:bidi="es-AR"/>
        </w:rPr>
      </w:pPr>
      <w:r>
        <w:rPr>
          <w:color w:val="000000"/>
          <w:lang w:val="es-AR" w:eastAsia="es-AR" w:bidi="es-AR"/>
        </w:rPr>
        <w:t xml:space="preserve">VIII. Finalmente, en lo atinente al daño moral propongo abordar conjuntamente los agravios de ambas partes, en tanto convergen sobre un mismo objeto de revisión: la demandada postula su improcedencia -o, subsidiariamente, su excesiva cuantificación-, mientras que la actora se agravia por reputar insuficiente la suma reconocida. </w:t>
      </w:r>
    </w:p>
    <w:p>
      <w:pPr>
        <w:pStyle w:val="[Normal]"/>
        <w:spacing w:line="360" w:lineRule="auto"/>
        <w:ind w:firstLine="1134"/>
        <w:jc w:val="both"/>
        <w:rPr>
          <w:color w:val="000000"/>
          <w:lang w:val="es-AR" w:eastAsia="es-AR" w:bidi="es-AR"/>
        </w:rPr>
      </w:pPr>
      <w:r>
        <w:rPr>
          <w:color w:val="000000"/>
          <w:lang w:val="es-AR" w:eastAsia="es-AR" w:bidi="es-AR"/>
        </w:rPr>
        <w:t xml:space="preserve">Ninguna de esas críticas, sin embargo, habrá de prosperar. La procedencia del rubro aparece suficientemente justificada a partir de las circunstancias del caso: Geraldina Flavia Pérez promovió esta acción a raíz del vaciamiento de su caja de ahorro en dólares por una transferencia desconocida de U$S 9.200; refirió la imposibilidad de acceder a sus aplicaciones bancarias, la necesidad de concurrir a la sucursal para interiorizarse de lo ocurrido, la formulación inmediata del reclamo administrativo y la posterior denuncia penal, todo ello en un contexto en el que los correos electrónicos remitidos por el propio banco reflejan una secuencia de activación de token, alta de cuenta destino y transferencia en horario de madrugada. </w:t>
      </w:r>
    </w:p>
    <w:p>
      <w:pPr>
        <w:pStyle w:val="[Normal]"/>
        <w:spacing w:line="360" w:lineRule="auto"/>
        <w:ind w:firstLine="1134"/>
        <w:jc w:val="both"/>
        <w:rPr>
          <w:color w:val="000000"/>
          <w:lang w:val="es-AR" w:eastAsia="es-AR" w:bidi="es-AR"/>
        </w:rPr>
      </w:pPr>
      <w:r>
        <w:rPr>
          <w:color w:val="000000"/>
          <w:lang w:val="es-AR" w:eastAsia="es-AR" w:bidi="es-AR"/>
        </w:rPr>
        <w:t xml:space="preserve">Ese cuadro excede largamente las molestias o inquietudes propias de cualquier conflicto negocial y autoriza, por aplicación de las reglas de la experiencia, a tener por configurado un menoscabo extrapatrimonial resarcible.</w:t>
      </w:r>
    </w:p>
    <w:p>
      <w:pPr>
        <w:pStyle w:val="[Normal]"/>
        <w:spacing w:line="360" w:lineRule="auto"/>
        <w:ind w:firstLine="1134"/>
        <w:jc w:val="both"/>
        <w:rPr>
          <w:color w:val="000000"/>
          <w:lang w:val="es-AR" w:eastAsia="es-AR" w:bidi="es-AR"/>
        </w:rPr>
      </w:pPr>
      <w:r>
        <w:rPr>
          <w:color w:val="000000"/>
          <w:lang w:val="es-AR" w:eastAsia="es-AR" w:bidi="es-AR"/>
        </w:rPr>
        <w:t xml:space="preserve">No modifica esta conclusión la objeción de la demandada. El banco no controvierte seriamente la aptitud del hecho para generar angustia, incertidumbre e intranquilidad en una consumidora persona humana que vio desapoderados sus ahorros, sino que se limita a negar la base misma de su responsabilidad o a cuestionar genéricamente la admisibilidad del rubro. </w:t>
      </w:r>
    </w:p>
    <w:p>
      <w:pPr>
        <w:pStyle w:val="[Normal]"/>
        <w:spacing w:line="360" w:lineRule="auto"/>
        <w:ind w:firstLine="1134"/>
        <w:jc w:val="both"/>
        <w:rPr>
          <w:color w:val="000000"/>
          <w:lang w:val="es-AR" w:eastAsia="es-AR" w:bidi="es-AR"/>
        </w:rPr>
      </w:pPr>
      <w:r>
        <w:rPr>
          <w:color w:val="000000"/>
          <w:lang w:val="es-AR" w:eastAsia="es-AR" w:bidi="es-AR"/>
        </w:rPr>
        <w:t xml:space="preserve">Pero, una vez confirmada la existencia del incumplimiento y de la transferencia no consentida, el agravio queda sin sustento suficiente, pues la lesión espiritual derivada del episodio surge con razonable inmediatez del propio curso ordinario de las cosas. A diferencia de los supuestos de personas jurídicas -respecto de los cuales esta Cámara ha negado, en otros precedentes, la procedencia del daño moral-, aquí la damnificada es una persona humana, de modo que no existe obstáculo conceptual alguno para admitir el rubro.</w:t>
      </w:r>
    </w:p>
    <w:p>
      <w:pPr>
        <w:pStyle w:val="[Normal]"/>
        <w:spacing w:line="360" w:lineRule="auto"/>
        <w:ind w:firstLine="1134"/>
        <w:jc w:val="both"/>
        <w:rPr>
          <w:lang w:val="es-AR" w:eastAsia="es-AR" w:bidi="es-AR"/>
        </w:rPr>
      </w:pPr>
      <w:r>
        <w:rPr>
          <w:color w:val="000000"/>
          <w:lang w:val="es-AR" w:eastAsia="es-AR" w:bidi="es-AR"/>
        </w:rPr>
        <w:t xml:space="preserve">A ello se agrega que </w:t>
      </w:r>
      <w:r>
        <w:rPr>
          <w:lang w:val="es-AR" w:eastAsia="es-AR" w:bidi="es-AR"/>
        </w:rPr>
        <w:t xml:space="preserve">en el caso y tratándose de una cuestión derivada de una relación de consumo el incumplimiento de la accionada conlleva </w:t>
      </w:r>
      <w:r>
        <w:rPr>
          <w:i/>
          <w:lang w:val="es-AR" w:eastAsia="es-AR" w:bidi="es-AR"/>
        </w:rPr>
        <w:t xml:space="preserve">"per se" </w:t>
      </w:r>
      <w:r>
        <w:rPr>
          <w:lang w:val="es-AR" w:eastAsia="es-AR" w:bidi="es-AR"/>
        </w:rPr>
        <w:t xml:space="preserve">la presunción de molestias, incomodidades, aflicciones padecidas por la actora (arts. 1, 2, 3, 4, 5, 6, 8, 8bis, 10 bis, 13, 17, 18, 37, 38, 40 y concs. L.D.C.; arts. 1066, 1067, 1078, 1083 y concs. Cód. Civ.; art. 1741 y concs. CCCN; este Tribunal, causa nº 62.827, 05/06/2018, “Barcelonna, María Paula y otro/a vs. Naldo Lombardi S.A. y otro/a s. Daños y perjuicios”).</w:t>
      </w:r>
    </w:p>
    <w:p>
      <w:pPr>
        <w:pStyle w:val="[Normal]"/>
        <w:spacing w:line="360" w:lineRule="auto"/>
        <w:ind w:firstLine="1134"/>
        <w:jc w:val="both"/>
        <w:rPr>
          <w:lang w:val="es-AR" w:eastAsia="es-AR" w:bidi="es-AR"/>
        </w:rPr>
      </w:pPr>
      <w:r>
        <w:rPr>
          <w:lang w:val="es-AR" w:eastAsia="es-AR" w:bidi="es-AR"/>
        </w:rPr>
        <w:t xml:space="preserve">En esta línea, la jurisprudencia del Máximo tribunal bonaerense, si bien no desconoce la aplicación restrictiva del daño moral en materia contractual, no ha vacilado en relativizar tal criterio en los últimos tiempos cuando se trata de relaciones de consumo, y así se ha entendido que se debe aplicar un criterio flexible, ya que están en juego los derechos del consumidor, objeto de especial tutela en nuestro régimen constitucional (esta Sala causa nro. 117.024 del 18/12/2018; SCBA LP 115486 S 30/09/2014, CC0002 AZ 62827 85 S 05/06/2018, CC0201 LP 120537 rsd 286/16 S 25/10/201, CC0102 MP 161454 263-S S 03/11/2016, CC0002 QL 16462 113/15 S 07/08/2015, CC0002 QL 16312 49/15 S 16/04/2015, CC0001 LM 213 RSD-25- S 09/09/2004; JUBA; Farina, Juan M., “Defensa del consumidor y del usuario”, Astrea, 2008, p. 481, con cita de C.N.Civ. y Com. Fed., Sala III, 19/02/08, “Borlenghi c. Cubana de Aviación”).-</w:t>
      </w:r>
    </w:p>
    <w:p>
      <w:pPr>
        <w:pStyle w:val="[Normal]"/>
        <w:spacing w:line="360" w:lineRule="auto"/>
        <w:ind w:firstLine="1134"/>
        <w:jc w:val="both"/>
        <w:rPr>
          <w:color w:val="000000"/>
          <w:lang w:val="es-AR" w:eastAsia="es-AR" w:bidi="es-AR"/>
        </w:rPr>
      </w:pPr>
      <w:r>
        <w:rPr>
          <w:color w:val="000000"/>
          <w:lang w:val="es-AR" w:eastAsia="es-AR" w:bidi="es-AR"/>
        </w:rPr>
        <w:t xml:space="preserve">Tampoco encuentro mérito para acoger la pretensión de la actora de elevar su cuantía. Es verdad que al demandar propuso como pauta orientadora el equivalente al valor real de un viaje a San Carlos de Bariloche para dos personas, con pensión completa, en hotel cinco estrellas durante quince días, y que al expresar agravios insistió sobre la insuficiencia del monto reconocido, incluso acompañando presupuestos turísticos para reforzar ese parámetro. </w:t>
      </w:r>
    </w:p>
    <w:p>
      <w:pPr>
        <w:pStyle w:val="[Normal]"/>
        <w:spacing w:line="360" w:lineRule="auto"/>
        <w:ind w:firstLine="1134"/>
        <w:jc w:val="both"/>
        <w:rPr>
          <w:color w:val="000000"/>
          <w:lang w:val="es-AR" w:eastAsia="es-AR" w:bidi="es-AR"/>
        </w:rPr>
      </w:pPr>
      <w:r>
        <w:rPr>
          <w:color w:val="000000"/>
          <w:lang w:val="es-AR" w:eastAsia="es-AR" w:bidi="es-AR"/>
        </w:rPr>
        <w:t xml:space="preserve">Pero esa referencia no opera como tarifa obligatoria ni desplazaba el prudente arbitrio judicial en la fijación del resarcimiento. Se trata, en rigor, de una pauta de satisfacción sustitutiva, útil como orientación, mas no vinculante para el tribunal. </w:t>
      </w:r>
    </w:p>
    <w:p>
      <w:pPr>
        <w:pStyle w:val="[Normal]"/>
        <w:spacing w:line="360" w:lineRule="auto"/>
        <w:ind w:firstLine="1134"/>
        <w:jc w:val="both"/>
        <w:rPr>
          <w:color w:val="000000"/>
          <w:lang w:val="es-AR" w:eastAsia="es-AR" w:bidi="es-AR"/>
        </w:rPr>
      </w:pPr>
      <w:r>
        <w:rPr>
          <w:color w:val="000000"/>
          <w:lang w:val="es-AR" w:eastAsia="es-AR" w:bidi="es-AR"/>
        </w:rPr>
        <w:t xml:space="preserve">Tampoco persuade la crítica de la actora en cuanto sostiene que aun el módulo de satisfacción sustitutiva tomado como referencia por el sentenciante -viaje a San Carlos de Bariloche para dos personas por diez días- habría quedado subestimado. A partir de consulta efectuada en la plataforma de referencia (https://www.despegar.com.ar/trip/accommodations/results/PCc992a8009138444996d8d106cec8a30729604368?searchParams=RkgvQ0lUXzk4Mi9DSVRfOTAxLzIwMjYtMDUtMTAvMjAyNi0wNS0yMC9DSVRfOTAxLzIwMjYtMDUtMTAvMjAyNi0wNS0yMC8yfEgwOkgsRjE6RixYUzpYUw%3D%3D&amp;flow=FH&amp;tripItem=H0&amp;stepNum=0&amp;from=PSB&amp;from=PSB&amp;deviceType=DESKTOP&amp;searchId=1ef0aa89-a9b1-440e-a524-4321bb9eb4cf&amp;nw=true&amp;currency=ARS&amp;tp=eyJJbnMiOjE3NzYyNjIxMDY0NTcsIklyIjoyMTUwNn0%3D), Es que, de la consulta incorporada a la plataforma comercial indicada por la propia recurrente, correspondiente al trayecto Buenos Aires–Bariloche entre el 10 y el 20 de mayo de 2026 para dos personas, surge un paquete de vuelo más alojamiento en hotel cinco estrellas “Alma del Lago Suites” por un precio final total de $ 2.504.146, con impuestos, tasas y cargos incluidos. Si a ello le adicionamos otros gastos de traslados (trayecto urbanos en Bariloche y traslado desde Pergamino a Aeropuerto ida-vuelta), el importe acordado por el Juez para traducir económicamente el módulo objetivo elegido en orden a la cuantificación del daño moral estaría dentro de un rango de aceptable razonabilidad.</w:t>
      </w:r>
    </w:p>
    <w:p>
      <w:pPr>
        <w:pStyle w:val="[Normal]"/>
        <w:spacing w:line="360" w:lineRule="auto"/>
        <w:ind w:firstLine="1134"/>
        <w:jc w:val="both"/>
        <w:rPr>
          <w:color w:val="000000"/>
          <w:lang w:val="es-AR" w:eastAsia="es-AR" w:bidi="es-AR"/>
        </w:rPr>
      </w:pPr>
      <w:r>
        <w:rPr>
          <w:color w:val="000000"/>
          <w:lang w:val="es-AR" w:eastAsia="es-AR" w:bidi="es-AR"/>
        </w:rPr>
        <w:t xml:space="preserve">Desde esa perspectiva, la suma reconocida en la instancia anterior no aparece ni irrisoria frente a la entidad del padecimiento, como postula la actora, ni exorbitante, como sostiene el banco, sino ubicada dentro de un marco de razonabilidad prudencial que no revela error de juzgamiento susceptible de revisión.</w:t>
      </w:r>
    </w:p>
    <w:p>
      <w:pPr>
        <w:pStyle w:val="[Normal]"/>
        <w:spacing w:line="360" w:lineRule="auto"/>
        <w:ind w:firstLine="1134"/>
        <w:jc w:val="both"/>
        <w:rPr>
          <w:color w:val="000000"/>
          <w:lang w:val="es-AR" w:eastAsia="es-AR" w:bidi="es-AR"/>
        </w:rPr>
      </w:pPr>
      <w:r>
        <w:rPr>
          <w:color w:val="000000"/>
          <w:lang w:val="es-AR" w:eastAsia="es-AR" w:bidi="es-AR"/>
        </w:rPr>
        <w:t xml:space="preserve">En suma, ponderadas las particularidades del caso, la condición de consumidora de la accionante, la naturaleza del hecho generador -consistente en el desapoderamiento intempestivo de sus ahorros por una operatoria electrónica desconocida- y el carácter prudencial que reviste la cuantificación de este tipo de menoscabos, corresponde confirmar el rubro daño moral tanto en su procedencia como en su extensión económica, desestimando en consecuencia los agravios de ambas partes sobre este tópico.</w:t>
      </w:r>
    </w:p>
    <w:p>
      <w:pPr>
        <w:pStyle w:val="[Normal]"/>
        <w:spacing w:line="360" w:lineRule="auto"/>
        <w:ind w:firstLine="1134"/>
        <w:jc w:val="both"/>
        <w:rPr>
          <w:lang w:val="es-AR" w:eastAsia="es-AR" w:bidi="es-AR"/>
        </w:rPr>
      </w:pPr>
      <w:r>
        <w:rPr>
          <w:color w:val="000000"/>
          <w:lang w:val="es-AR" w:eastAsia="es-AR" w:bidi="es-AR"/>
        </w:rPr>
        <w:t xml:space="preserve">En cuanto a los intereses correspondientes a este rubro -aspecto que quedase parcialmente omitido en el pronunciamiento de grado-, he de precisar que habrá de aplicarse </w:t>
      </w:r>
      <w:r>
        <w:rPr>
          <w:lang w:val="es-AR" w:eastAsia="es-AR" w:bidi="es-AR"/>
        </w:rPr>
        <w:t xml:space="preserve">una tasa del 6% anual [tasa de interés puro], la que corresponderá ser impuesta al crédito indemnizatorio en cuestión desde la fecha de mora (19/5/2025), y hasta el momento tenido en cuenta para la evaluación de la deuda -coincidente con la fecha en que fue dictada la sentencia de grado- (arts. 772 y 1748, Cód. Civ. y Com.). De allí en más, resultará aplicable la tasa de interés [tasa pasiva más alta en los depóstios a treinta días] establecida en las causas C. 101.774, "Ponce" y L. 94.446, "Ginossi" (ambas sents. de 21-X-2009) y C. 119.176, "Cabrera" (sent. de 15-VI-2016).</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w:t>
      </w:r>
      <w:r>
        <w:rPr>
          <w:color w:val="0000FF"/>
          <w:lang w:val="es-AR" w:eastAsia="es-AR" w:bidi="es-AR"/>
        </w:rPr>
        <w:t xml:space="preserve"> </w:t>
      </w:r>
      <w:r>
        <w:rPr>
          <w:lang w:val="es-AR" w:eastAsia="es-AR" w:bidi="es-AR"/>
        </w:rPr>
        <w:t xml:space="preserve">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parte demandada, confirmando el pronunciamiento de grado en lo que fuera materia de apelación.</w:t>
      </w:r>
    </w:p>
    <w:p>
      <w:pPr>
        <w:pStyle w:val="[Normal]"/>
        <w:spacing w:line="360" w:lineRule="auto"/>
        <w:ind w:firstLine="1134"/>
        <w:jc w:val="both"/>
        <w:rPr>
          <w:lang w:val="es-AR" w:eastAsia="es-AR" w:bidi="es-AR"/>
        </w:rPr>
      </w:pPr>
      <w:r>
        <w:rPr>
          <w:lang w:val="es-AR" w:eastAsia="es-AR" w:bidi="es-AR"/>
        </w:rPr>
        <w:t xml:space="preserve">2) Hacer lugar parcialmente al recurso de apelación interpuesto por la parte actora, estableciendo el importe correspondiente al rubro daño punitivo en la suma de ocho millones ($ 8.000.000) con más intereses en la forma dispuesta en el considerando VII.</w:t>
      </w:r>
    </w:p>
    <w:p>
      <w:pPr>
        <w:pStyle w:val="[Normal]"/>
        <w:spacing w:line="360" w:lineRule="auto"/>
        <w:ind w:firstLine="1134"/>
        <w:jc w:val="both"/>
        <w:rPr>
          <w:lang w:val="es-AR" w:eastAsia="es-AR" w:bidi="es-AR"/>
        </w:rPr>
      </w:pPr>
      <w:r>
        <w:rPr>
          <w:lang w:val="es-AR" w:eastAsia="es-AR" w:bidi="es-AR"/>
        </w:rPr>
        <w:t xml:space="preserve">3) Establecer los intereses correspondientes al rubro daño moral en la forma dispuesta en el considerando VIII.</w:t>
      </w:r>
    </w:p>
    <w:p>
      <w:pPr>
        <w:pStyle w:val="[Normal]"/>
        <w:spacing w:line="360" w:lineRule="auto"/>
        <w:ind w:firstLine="1134"/>
        <w:jc w:val="both"/>
        <w:rPr>
          <w:lang w:val="es-AR" w:eastAsia="es-AR" w:bidi="es-AR"/>
        </w:rPr>
      </w:pPr>
      <w:r>
        <w:rPr>
          <w:lang w:val="es-AR" w:eastAsia="es-AR" w:bidi="es-AR"/>
        </w:rPr>
        <w:t xml:space="preserve">4) Imponer las costas de Alzada a la demandada vencida (art. 68/69 del CPCCBA).</w:t>
      </w:r>
    </w:p>
    <w:p>
      <w:pPr>
        <w:pStyle w:val="[Normal]"/>
        <w:spacing w:line="360" w:lineRule="auto"/>
        <w:ind w:firstLine="1134"/>
        <w:jc w:val="both"/>
        <w:rPr>
          <w:lang w:val="es-AR" w:eastAsia="es-AR" w:bidi="es-AR"/>
        </w:rPr>
      </w:pPr>
      <w:r>
        <w:rPr>
          <w:lang w:val="es-AR" w:eastAsia="es-AR" w:bidi="es-AR"/>
        </w:rPr>
        <w:t xml:space="preserve">5) Diferir la regulación de honorarios para su oportunidad respectiva (art. 31 de la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w:t>
      </w:r>
      <w:r>
        <w:rPr>
          <w:color w:val="0000FF"/>
          <w:lang w:val="es-AR" w:eastAsia="es-AR" w:bidi="es-AR"/>
        </w:rPr>
        <w:t xml:space="preserve"> </w:t>
      </w:r>
      <w:r>
        <w:rPr>
          <w:lang w:val="es-AR" w:eastAsia="es-AR" w:bidi="es-AR"/>
        </w:rPr>
        <w:t xml:space="preserve">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parte demandada, confirmando el pronunciamiento de grado en lo que fuera materia de apelación.</w:t>
      </w:r>
    </w:p>
    <w:p>
      <w:pPr>
        <w:pStyle w:val="[Normal]"/>
        <w:spacing w:line="360" w:lineRule="auto"/>
        <w:ind w:firstLine="1134"/>
        <w:jc w:val="both"/>
        <w:rPr>
          <w:lang w:val="es-AR" w:eastAsia="es-AR" w:bidi="es-AR"/>
        </w:rPr>
      </w:pPr>
      <w:r>
        <w:rPr>
          <w:lang w:val="es-AR" w:eastAsia="es-AR" w:bidi="es-AR"/>
        </w:rPr>
        <w:t xml:space="preserve">2) Hacer lugar parcialmente al recurso de apelación interpuesto por la parte actora, estableciendo el importe correspondiente al rubro daño punitivo en la suma de ocho millones ($ 8.000.000) con más intereses en la forma dispuesta en el considerando VII.</w:t>
      </w:r>
    </w:p>
    <w:p>
      <w:pPr>
        <w:pStyle w:val="[Normal]"/>
        <w:spacing w:line="360" w:lineRule="auto"/>
        <w:ind w:firstLine="1134"/>
        <w:jc w:val="both"/>
        <w:rPr>
          <w:lang w:val="es-AR" w:eastAsia="es-AR" w:bidi="es-AR"/>
        </w:rPr>
      </w:pPr>
      <w:r>
        <w:rPr>
          <w:lang w:val="es-AR" w:eastAsia="es-AR" w:bidi="es-AR"/>
        </w:rPr>
        <w:t xml:space="preserve">3) Establecer los intereses correspondientes al rubro daño moral en la forma dispuesta en el considerando VIII.</w:t>
      </w:r>
    </w:p>
    <w:p>
      <w:pPr>
        <w:pStyle w:val="[Normal]"/>
        <w:spacing w:line="360" w:lineRule="auto"/>
        <w:ind w:firstLine="1134"/>
        <w:jc w:val="both"/>
        <w:rPr>
          <w:lang w:val="es-AR" w:eastAsia="es-AR" w:bidi="es-AR"/>
        </w:rPr>
      </w:pPr>
      <w:r>
        <w:rPr>
          <w:lang w:val="es-AR" w:eastAsia="es-AR" w:bidi="es-AR"/>
        </w:rPr>
        <w:t xml:space="preserve">4) Imponer las costas de Alzada a la demandada vencida (art. 68/69 del CPCCBA).</w:t>
      </w:r>
    </w:p>
    <w:p>
      <w:pPr>
        <w:pStyle w:val="[Normal]"/>
        <w:spacing w:line="360" w:lineRule="auto"/>
        <w:ind w:firstLine="1134"/>
        <w:jc w:val="both"/>
        <w:rPr>
          <w:lang w:val="es-AR" w:eastAsia="es-AR" w:bidi="es-AR"/>
        </w:rPr>
      </w:pPr>
      <w:r>
        <w:rPr>
          <w:lang w:val="es-AR" w:eastAsia="es-AR" w:bidi="es-AR"/>
        </w:rPr>
        <w:t xml:space="preserve">5) Diferir la regulación de honorarios para su oportunidad respectiva (art. 31 de la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07/05/2026 10:12:00 -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07/05/2026 10:25:51 -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07/05/2026 12:28:39 - MOREA Adrian Oscar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‰8,")è&amp;x&gt;36Š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241202090006883019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07/05/2026 12:29:00 hs. bajo el número RS-77-2026 por MOREA ADRIAN OSCAR.</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Arial MT">
    <w:charset w:val="01"/>
    <w:family w:val="swiss"/>
    <w:pitch w:val="variable"/>
  </w:font>
  <w:font w:name="Calibri">
    <w:panose1 w:val="020F0502020204030204"/>
    <w:charset w:val="00"/>
    <w:family w:val="swiss"/>
    <w:pitch w:val="variable"/>
    <w:sig w:usb0="E0002EFF" w:usb1="C000247B" w:usb2="00000009" w:usb3="00000000" w:csb0="200001FF"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Normal">
    <w:name w:val="Normal"/>
    <w:next w:val="Normal"/>
    <w:qFormat/>
    <w:pPr>
      <w:widowControl w:val="off"/>
      <w:shd w:val="clear" w:color="auto" w:fill="auto"/>
      <w:spacing w:before="0" w:after="0" w:line="240" w:lineRule="auto"/>
      <w:ind w:left="0" w:right="0" w:firstLine="0"/>
      <w:jc w:val="left"/>
    </w:pPr>
    <w:rPr>
      <w:rFonts w:ascii="Arial MT" w:hAnsi="Arial MT" w:eastAsia="Arial MT" w:cs="Arial MT"/>
      <w:b w:val="off"/>
      <w:bCs w:val="off"/>
      <w:i w:val="off"/>
      <w:iCs w:val="off"/>
      <w:strike w:val="off"/>
      <w:color w:val="auto"/>
      <w:position w:val="0"/>
      <w:sz w:val="22"/>
      <w:szCs w:val="22"/>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