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5972-26</w:t>
      </w:r>
      <w:r>
        <w:rPr>
          <w:lang w:val="es-AR" w:eastAsia="es-AR" w:bidi="es-AR"/>
        </w:rPr>
        <w:t xml:space="preserve"> caratulada </w:t>
      </w:r>
      <w:r>
        <w:rPr>
          <w:b/>
          <w:lang w:val="es-AR" w:eastAsia="es-AR" w:bidi="es-AR"/>
        </w:rPr>
        <w:t xml:space="preserve">"</w:t>
      </w:r>
      <w:r>
        <w:rPr>
          <w:b/>
          <w:color w:val="000000"/>
          <w:lang w:val="es-AR" w:eastAsia="es-AR" w:bidi="es-AR"/>
        </w:rPr>
        <w:t xml:space="preserve">AMAYA JUAN CARLOS S/ SUCESION AB-INTESTATO</w:t>
      </w:r>
      <w:r>
        <w:rPr>
          <w:b/>
          <w:lang w:val="es-AR" w:eastAsia="es-AR" w:bidi="es-AR"/>
        </w:rPr>
        <w:t xml:space="preserve">"</w:t>
      </w:r>
      <w:r>
        <w:rPr>
          <w:lang w:val="es-AR" w:eastAsia="es-AR" w:bidi="es-AR"/>
        </w:rPr>
        <w:t xml:space="preserve">, Expte. N° 72.060</w:t>
      </w:r>
      <w:r>
        <w:rPr>
          <w:color w:val="000000"/>
          <w:lang w:val="es-AR" w:eastAsia="es-AR" w:bidi="es-AR"/>
        </w:rPr>
        <w:t xml:space="preserve"> </w:t>
      </w:r>
      <w:r>
        <w:rPr>
          <w:lang w:val="es-AR" w:eastAsia="es-AR" w:bidi="es-AR"/>
        </w:rPr>
        <w:t xml:space="preserve">del Juzgado en lo Civil y Comercial N° 1, se practicó el sorteo de ley que determinó que la votación debía efectuarse en el siguiente orden: Roberto Degleue y Graciela Scaraffía,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la anterior instancia falló la presente aprobando, al no haber sido observadas, la clasificación de trabajos de fecha 5/7/24 y la planilla de declaración jurada patrimonial presentada el 28/6/24 respecto del inmueble denunciado en autos -matrícula 36.082 del Partido de Pergamino-. Seguidamente, en atención a lo solicitado y a la vigencia de la ley 14.967, procedió a regular honorarios a los profesionales intervinientes por las tareas desarrolladas en beneficio común y a cargo de la masa sucesoria, tomando como base el porcentaje denunciado del bien detallado en la planilla patrimonial aprobada. En tal marco, reguló los honorarios de la Dra. Raquel Noemí Amaya Sierra en la suma equivalente a 7 jus, con más aportes de ley e IVA en caso de corresponder, con fundamento en los arts. 9, 14 a 16, 21, 22, 28 y 35 de la ley 14.967. Asimismo, reguló los honorarios del Dr. Marcelo José Teixidó también en la suma equivalente a 7 jus, con más los adicionales legales, dejando expresamente establecido que ello obedecía a que la petición formulada por el letrado el 2/9/25 -consistente en que se tomaran como base regulatoria las tasaciones del inmueble obrantes en el expediente sucesorio de la cónyuge del causante, “Sierra Petrona Felisa s/ Sucesión ab-intestato”, expte. 79.316- se sustentaba en documental que no corresponde a estos actuados y resultaba contraria a lo dispuesto por el art. 35 de la ley arancelaria aplicable. </w:t>
      </w:r>
    </w:p>
    <w:p>
      <w:pPr>
        <w:pStyle w:val="[Normal]"/>
        <w:spacing w:line="360" w:lineRule="auto"/>
        <w:ind w:firstLine="1134"/>
        <w:jc w:val="both"/>
        <w:rPr>
          <w:lang w:val="es-AR" w:eastAsia="es-AR" w:bidi="es-AR"/>
        </w:rPr>
      </w:pPr>
      <w:r>
        <w:rPr>
          <w:lang w:val="es-AR" w:eastAsia="es-AR" w:bidi="es-AR"/>
        </w:rPr>
        <w:t xml:space="preserve">Mediante la presentación de fecha 25/11/25 el Dr. Marcelo José Teixidó -por derecho propio- interpuso recursos de nulidad y apelación, fundados en el acto de su interposición. </w:t>
      </w:r>
    </w:p>
    <w:p>
      <w:pPr>
        <w:pStyle w:val="[Normal]"/>
        <w:spacing w:line="360" w:lineRule="auto"/>
        <w:ind w:firstLine="1134"/>
        <w:jc w:val="both"/>
        <w:rPr>
          <w:lang w:val="es-AR" w:eastAsia="es-AR" w:bidi="es-AR"/>
        </w:rPr>
      </w:pPr>
      <w:r>
        <w:rPr>
          <w:lang w:val="es-AR" w:eastAsia="es-AR" w:bidi="es-AR"/>
        </w:rPr>
        <w:t xml:space="preserve">Conferido el traslado pertinente, fue evacuado en fecha 15/12/25 por las herederas Raquel Noemí Amaya Sierra, Angélica Mabel Amaya y Mónica Elisabet Amaya Sierra. No habiendo la señora  María Liliana Amaya, contestado el que le fuera conferido oportunamente, se le dió por perdido el derecho dejado de usar.</w:t>
      </w:r>
    </w:p>
    <w:p>
      <w:pPr>
        <w:pStyle w:val="[Normal]"/>
        <w:spacing w:line="360" w:lineRule="auto"/>
        <w:ind w:firstLine="1134"/>
        <w:jc w:val="both"/>
        <w:rPr>
          <w:lang w:val="es-AR" w:eastAsia="es-AR" w:bidi="es-AR"/>
        </w:rPr>
      </w:pPr>
      <w:r>
        <w:rPr>
          <w:lang w:val="es-AR" w:eastAsia="es-AR" w:bidi="es-AR"/>
        </w:rPr>
        <w:t xml:space="preserve">En fecha 12/2/26 se dictó el llamamiento de autos que habiendo adquirido firmeza, deja la causa en condiciones de ser fallada.</w:t>
      </w:r>
    </w:p>
    <w:p>
      <w:pPr>
        <w:pStyle w:val="[Normal]"/>
        <w:spacing w:line="360" w:lineRule="auto"/>
        <w:ind w:firstLine="1134"/>
        <w:jc w:val="both"/>
        <w:rPr>
          <w:lang w:val="es-AR" w:eastAsia="es-AR" w:bidi="es-AR"/>
        </w:rPr>
      </w:pPr>
      <w:r>
        <w:rPr>
          <w:lang w:val="es-AR" w:eastAsia="es-AR" w:bidi="es-AR"/>
        </w:rPr>
        <w:t xml:space="preserve">El recurrente, Dr. Marcelo José Teixidó</w:t>
      </w:r>
      <w:r>
        <w:rPr>
          <w:b/>
          <w:lang w:val="es-AR" w:eastAsia="es-AR" w:bidi="es-AR"/>
        </w:rPr>
        <w:t xml:space="preserve"> </w:t>
      </w:r>
      <w:r>
        <w:rPr>
          <w:lang w:val="es-AR" w:eastAsia="es-AR" w:bidi="es-AR"/>
        </w:rPr>
        <w:t xml:space="preserve">sostiene que la resolución en crisis incurre en un error de hecho y de juzgamiento al omitir valorar prueba documental que reputa decisiva para la determinación de la base regulatoria, concretamente las tasaciones del inmueble integrante del acervo hereditario acompañadas -según afirma- mediante escrito de fecha 2/9/25 y obrantes asimismo en el expediente conexo “Sierra Petrona Felisa S/ Sucesion Ab-Intestato”, expte. 79.316, en trámite ante el mismo juzgado. Refiere que en dicha presentación solicitó expresamente que la regulación se practicara tomando como base el valor de las tasaciones acompañadas en aquel sucesorio, correspondientes al mismo inmueble, acompañando copias de dos tasaciones y ofreciendo como prueba la totalidad de las actuaciones conexas, solicitando incluso que Secretaría certificara las copias confrontándolas con los autos referidos.</w:t>
      </w:r>
    </w:p>
    <w:p>
      <w:pPr>
        <w:pStyle w:val="[Normal]"/>
        <w:spacing w:line="360" w:lineRule="auto"/>
        <w:ind w:firstLine="1134"/>
        <w:jc w:val="both"/>
        <w:rPr>
          <w:lang w:val="es-AR" w:eastAsia="es-AR" w:bidi="es-AR"/>
        </w:rPr>
      </w:pPr>
      <w:r>
        <w:rPr>
          <w:lang w:val="es-AR" w:eastAsia="es-AR" w:bidi="es-AR"/>
        </w:rPr>
        <w:t xml:space="preserve">Cuestiona el fundamento empleado por el juzgado para apartarse de la base económica pretendida, consistente en que la documental no corresponde a estos actuados y que ello contrariaría lo dispuesto por el art. 35 de la ley 14.967, afirmando que tal conclusión no se condice con las constancias del expediente y desconoce prueba incorporada oportunamente. Destaca que mediante providencia de fecha 11/9/25 el propio juzgado le requirió que aclarara si pretendía la regulación por el mecanismo del art. 27 inc. a) de la ley arancelaria o si solicitaba tomar como base el valor de tasación referido, lo que -a su entender- demuestra que las tasaciones habían sido consideradas incorporadas al proceso. Señala que respondió tal requerimiento mediante escrito del 23/9/25, precisando que solicitaba la regulación sobre la base de las tasaciones acompañadas y reiterando el pedido formulado el 2/9/25.</w:t>
      </w:r>
    </w:p>
    <w:p>
      <w:pPr>
        <w:pStyle w:val="[Normal]"/>
        <w:spacing w:line="360" w:lineRule="auto"/>
        <w:ind w:firstLine="1134"/>
        <w:jc w:val="both"/>
        <w:rPr>
          <w:lang w:val="es-AR" w:eastAsia="es-AR" w:bidi="es-AR"/>
        </w:rPr>
      </w:pPr>
      <w:r>
        <w:rPr>
          <w:lang w:val="es-AR" w:eastAsia="es-AR" w:bidi="es-AR"/>
        </w:rPr>
        <w:t xml:space="preserve">Asimismo, expresa que las referidas tasaciones fueron acompañadas también en el sucesorio de Petrona Felisa Sierra por las coherederas Patricia Alejandra Amaya Sierra y Angélica Mabel Amaya, con su patrocinio letrado, y por María Liliana Amaya con patrocinio del Dr. Daniel Eloy Di Matteo, tratándose -según manifiesta- de valuaciones emitidas por las inmobiliarias Germán de Mayo y Cristian Rosello.</w:t>
      </w:r>
    </w:p>
    <w:p>
      <w:pPr>
        <w:pStyle w:val="[Normal]"/>
        <w:spacing w:line="360" w:lineRule="auto"/>
        <w:ind w:firstLine="1134"/>
        <w:jc w:val="both"/>
        <w:rPr>
          <w:lang w:val="es-AR" w:eastAsia="es-AR" w:bidi="es-AR"/>
        </w:rPr>
      </w:pPr>
      <w:r>
        <w:rPr>
          <w:lang w:val="es-AR" w:eastAsia="es-AR" w:bidi="es-AR"/>
        </w:rPr>
        <w:t xml:space="preserve">Aduce igualmente que, existiendo oposición a la regulación pretendida, correspondía aplicar el procedimiento previsto en el art. 27 inc. a), tercero y cuarto párrafos, de la ley 14.967, designando perito tasador de la lista oficial para determinar judicialmente el valor del inmueble cuestionado y poniendo luego el dictamen de manifiesto a las partes, extremo que -afirma- no ocurrió.</w:t>
      </w:r>
    </w:p>
    <w:p>
      <w:pPr>
        <w:pStyle w:val="[Normal]"/>
        <w:spacing w:line="360" w:lineRule="auto"/>
        <w:ind w:firstLine="1134"/>
        <w:jc w:val="both"/>
        <w:rPr>
          <w:lang w:val="es-AR" w:eastAsia="es-AR" w:bidi="es-AR"/>
        </w:rPr>
      </w:pPr>
      <w:r>
        <w:rPr>
          <w:lang w:val="es-AR" w:eastAsia="es-AR" w:bidi="es-AR"/>
        </w:rPr>
        <w:t xml:space="preserve">Por otro lado, controvierte la aplicación al caso del último párrafo del art. 35 inc. b) de la ley 14.967. Argumenta que no se configuran los presupuestos exigidos para la aplicación de la excepción vinculada al inmueble destinado a vivienda familiar, toda vez que, si bien el bien constituyó el hogar conyugal, la cónyuge del causante falleció, no existen convivientes, ascendientes ni descendientes herederos habitando el inmueble y la vivienda se encontraría desocupada y parcialmente alquilada para guarda de un vehículo. Refiere que tales circunstancias surgirían del expediente sucesorio conexo de Petrona Felisa Sierra, ofrecido “ad effectum videndi et probandi”. Con sustento en ello, sostiene que sí resultan aplicables el segundo y tercer párrafos del inc. b) del art. 35 de la ley arancelaria, conforme los cuales debe tomarse como base regulatoria el valor de tasación o venta cuando éste supere la valuación fiscal y el profesional puede reputar inadecuado el valor del inmueble y estimarlo conforme el art. 27 inc. a) de la ley.</w:t>
      </w:r>
    </w:p>
    <w:p>
      <w:pPr>
        <w:pStyle w:val="[Normal]"/>
        <w:spacing w:line="360" w:lineRule="auto"/>
        <w:ind w:firstLine="1134"/>
        <w:jc w:val="both"/>
        <w:rPr>
          <w:lang w:val="es-AR" w:eastAsia="es-AR" w:bidi="es-AR"/>
        </w:rPr>
      </w:pPr>
      <w:r>
        <w:rPr>
          <w:lang w:val="es-AR" w:eastAsia="es-AR" w:bidi="es-AR"/>
        </w:rPr>
        <w:t xml:space="preserve">Afirma que la omisión de considerar la documental acompañada afecta la validez del acto regulatorio, altera indebidamente la base económica de cálculo y produce una regulación sustancialmente reducida, lesionando el carácter alimentario de los honorarios profesionales. Entiende que ello configura un vicio de fundamentación y una omisión de valoración de prueba esencial que torna nula la resolución atacada.</w:t>
      </w:r>
    </w:p>
    <w:p>
      <w:pPr>
        <w:pStyle w:val="[Normal]"/>
        <w:spacing w:line="360" w:lineRule="auto"/>
        <w:ind w:firstLine="1134"/>
        <w:jc w:val="both"/>
        <w:rPr>
          <w:lang w:val="es-AR" w:eastAsia="es-AR" w:bidi="es-AR"/>
        </w:rPr>
      </w:pPr>
      <w:r>
        <w:rPr>
          <w:lang w:val="es-AR" w:eastAsia="es-AR" w:bidi="es-AR"/>
        </w:rPr>
        <w:t xml:space="preserve">En otro orden, denuncia que el juzgado omitió considerar la renuncia expresa y definitiva formulada por la Dra. Raquel Amaya Sierra respecto de los honorarios correspondientes a la sucesión de su padre, efectuada -según indica- en el escrito inicial obrante a fs. 29 vta., punto V Renuncia expresa, pese a lo cual se le regularon honorarios en la resolución recurrida.</w:t>
      </w:r>
    </w:p>
    <w:p>
      <w:pPr>
        <w:pStyle w:val="[Normal]"/>
        <w:spacing w:line="360" w:lineRule="auto"/>
        <w:ind w:firstLine="1134"/>
        <w:jc w:val="both"/>
        <w:rPr>
          <w:lang w:val="es-AR" w:eastAsia="es-AR" w:bidi="es-AR"/>
        </w:rPr>
      </w:pPr>
      <w:r>
        <w:rPr>
          <w:lang w:val="es-AR" w:eastAsia="es-AR" w:bidi="es-AR"/>
        </w:rPr>
        <w:t xml:space="preserve">Finalmente, </w:t>
      </w:r>
      <w:r>
        <w:rPr>
          <w:lang w:val="es-AR" w:eastAsia="es-AR" w:bidi="es-AR"/>
        </w:rPr>
        <w:t xml:space="preserve">considera baja la regulación de honorarios por error y omisión de prueba esencial.</w:t>
      </w:r>
    </w:p>
    <w:p>
      <w:pPr>
        <w:pStyle w:val="[Normal]"/>
        <w:spacing w:line="360" w:lineRule="auto"/>
        <w:ind w:firstLine="1134"/>
        <w:jc w:val="both"/>
        <w:rPr>
          <w:lang w:val="es-AR" w:eastAsia="es-AR" w:bidi="es-AR"/>
        </w:rPr>
      </w:pPr>
      <w:r>
        <w:rPr>
          <w:lang w:val="es-AR" w:eastAsia="es-AR" w:bidi="es-AR"/>
        </w:rPr>
        <w:t xml:space="preserve">Las codemandadas, en su carácter de herederas, contestan el traslado conferido respecto de los recursos de nulidad y apelación deducidos por el Dr. Marcelo José Teixidó, solicitando su rechazo con fundamento en la inexistencia de vicios invalidantes y la corrección de la decisión adoptada.</w:t>
      </w:r>
    </w:p>
    <w:p>
      <w:pPr>
        <w:pStyle w:val="[Normal]"/>
        <w:spacing w:line="360" w:lineRule="auto"/>
        <w:ind w:firstLine="1134"/>
        <w:jc w:val="both"/>
        <w:rPr>
          <w:lang w:val="es-AR" w:eastAsia="es-AR" w:bidi="es-AR"/>
        </w:rPr>
      </w:pPr>
      <w:r>
        <w:rPr>
          <w:lang w:val="es-AR" w:eastAsia="es-AR" w:bidi="es-AR"/>
        </w:rPr>
        <w:t xml:space="preserve">Sostienen en primer lugar que no se configura vicio alguno que habilite la sanción extrema de invalidez, en tanto la resolución impugnada cumplió su finalidad esencial de regular honorarios profesionales, sin afectar garantías procesales ni impedir la consecución del objeto del acto jurisdiccional.</w:t>
      </w:r>
    </w:p>
    <w:p>
      <w:pPr>
        <w:pStyle w:val="[Normal]"/>
        <w:spacing w:line="360" w:lineRule="auto"/>
        <w:ind w:firstLine="1134"/>
        <w:jc w:val="both"/>
        <w:rPr>
          <w:lang w:val="es-AR" w:eastAsia="es-AR" w:bidi="es-AR"/>
        </w:rPr>
      </w:pPr>
      <w:r>
        <w:rPr>
          <w:lang w:val="es-AR" w:eastAsia="es-AR" w:bidi="es-AR"/>
        </w:rPr>
        <w:t xml:space="preserve">Afirman que el planteo relativo a la omisión de valoración de prueba documental resulta improcedente, por cuanto las tasaciones invocadas por el recurrente no fueron omitidas sino expresamente consideradas como inaplicables al presente sucesorio, al tratarse de documentación proveniente de otro expediente y no incorporada como base idónea para la regulación en estos actuados.</w:t>
      </w:r>
    </w:p>
    <w:p>
      <w:pPr>
        <w:pStyle w:val="[Normal]"/>
        <w:spacing w:line="360" w:lineRule="auto"/>
        <w:ind w:firstLine="1134"/>
        <w:jc w:val="both"/>
        <w:rPr>
          <w:lang w:val="es-AR" w:eastAsia="es-AR" w:bidi="es-AR"/>
        </w:rPr>
      </w:pPr>
      <w:r>
        <w:rPr>
          <w:lang w:val="es-AR" w:eastAsia="es-AR" w:bidi="es-AR"/>
        </w:rPr>
        <w:t xml:space="preserve">Sostienen asimismo que el art. 27 inc. a) de la ley 14.967 no resulta aplicable, por estar previsto para supuestos de controversia entre partes sobre el valor del bien mediante designación de perito tasador, situación que -según alegan- no se configura en autos. Agregan que la denuncia de bienes efectuada oportunamente por el propio recurrente fue realizada conforme valuación fiscal (art. 35 inc. b de la ley arancelaria), no siendo oportunamente cuestionada por la contraria, lo que habría importado su consentimiento tácito.</w:t>
      </w:r>
    </w:p>
    <w:p>
      <w:pPr>
        <w:pStyle w:val="[Normal]"/>
        <w:spacing w:line="360" w:lineRule="auto"/>
        <w:ind w:firstLine="1134"/>
        <w:jc w:val="both"/>
        <w:rPr>
          <w:lang w:val="es-AR" w:eastAsia="es-AR" w:bidi="es-AR"/>
        </w:rPr>
      </w:pPr>
      <w:r>
        <w:rPr>
          <w:lang w:val="es-AR" w:eastAsia="es-AR" w:bidi="es-AR"/>
        </w:rPr>
        <w:t xml:space="preserve">Cuestionan además la introducción tardía de tasaciones provenientes del sucesorio “Sierra Petrona Felisa s/ Sucesión ab intestato”, señalando que el propio profesional había solicitado la acumulación de ambos procesos, petición que fue rechazada sin que interpusiera recurso alguno, pretendiendo luego -según su postura- trasladar tales elementos probatorios a este expediente sin base procesal válida.</w:t>
      </w:r>
    </w:p>
    <w:p>
      <w:pPr>
        <w:pStyle w:val="[Normal]"/>
        <w:spacing w:line="360" w:lineRule="auto"/>
        <w:ind w:firstLine="1134"/>
        <w:jc w:val="both"/>
        <w:rPr>
          <w:lang w:val="es-AR" w:eastAsia="es-AR" w:bidi="es-AR"/>
        </w:rPr>
      </w:pPr>
      <w:r>
        <w:rPr>
          <w:lang w:val="es-AR" w:eastAsia="es-AR" w:bidi="es-AR"/>
        </w:rPr>
        <w:t xml:space="preserve">Rechazan también la interpretación del recurrente respecto del proveído de fecha 11/9/25, afirmando que el mismo sólo tuvo por objeto requerir aclaraciones sobre la base regulatoria pretendida, sin implicar reconocimiento de la procedencia de las tasaciones externas.</w:t>
      </w:r>
    </w:p>
    <w:p>
      <w:pPr>
        <w:pStyle w:val="[Normal]"/>
        <w:spacing w:line="360" w:lineRule="auto"/>
        <w:ind w:firstLine="1134"/>
        <w:jc w:val="both"/>
        <w:rPr>
          <w:lang w:val="es-AR" w:eastAsia="es-AR" w:bidi="es-AR"/>
        </w:rPr>
      </w:pPr>
      <w:r>
        <w:rPr>
          <w:lang w:val="es-AR" w:eastAsia="es-AR" w:bidi="es-AR"/>
        </w:rPr>
        <w:t xml:space="preserve">Concluyen que no existe omisión probatoria ni vicio de fundamentación, sino una decisión jurisdiccional fundada en la inaplicabilidad de la documental ofrecida.</w:t>
      </w:r>
    </w:p>
    <w:p>
      <w:pPr>
        <w:pStyle w:val="[Normal]"/>
        <w:spacing w:line="360" w:lineRule="auto"/>
        <w:ind w:firstLine="1134"/>
        <w:jc w:val="both"/>
        <w:rPr>
          <w:lang w:val="es-AR" w:eastAsia="es-AR" w:bidi="es-AR"/>
        </w:rPr>
      </w:pPr>
      <w:r>
        <w:rPr>
          <w:lang w:val="es-AR" w:eastAsia="es-AR" w:bidi="es-AR"/>
        </w:rPr>
        <w:t xml:space="preserve">Manifiestan allanamiento a los términos de la resolución apelada en cuanto establece como base regulatoria la valuación fiscal del inmueble conforme el art. 35 inc. b) de la ley 14.967, sosteniendo su corrección normativa y su adecuación al caso.</w:t>
      </w:r>
    </w:p>
    <w:p>
      <w:pPr>
        <w:pStyle w:val="[Normal]"/>
        <w:spacing w:line="360" w:lineRule="auto"/>
        <w:ind w:firstLine="1134"/>
        <w:jc w:val="both"/>
        <w:rPr>
          <w:lang w:val="es-AR" w:eastAsia="es-AR" w:bidi="es-AR"/>
        </w:rPr>
      </w:pPr>
      <w:r>
        <w:rPr>
          <w:lang w:val="es-AR" w:eastAsia="es-AR" w:bidi="es-AR"/>
        </w:rPr>
        <w:t xml:space="preserve">En consecuencia, solicitan el rechazo de los recursos interpuestos y la confirmación íntegra de la regulación de honorarios dispuesta en autos.</w:t>
      </w:r>
    </w:p>
    <w:p>
      <w:pPr>
        <w:pStyle w:val="[Normal]"/>
        <w:spacing w:line="360" w:lineRule="auto"/>
        <w:ind w:firstLine="1134"/>
        <w:jc w:val="both"/>
        <w:rPr>
          <w:lang w:val="es-AR" w:eastAsia="es-AR" w:bidi="es-AR"/>
        </w:rPr>
      </w:pPr>
      <w:r>
        <w:rPr>
          <w:lang w:val="es-AR" w:eastAsia="es-AR" w:bidi="es-AR"/>
        </w:rPr>
        <w:t xml:space="preserve">Entrando a resolver, y comenzando por una cuestión de orden lógico por el recurso de nulidad articulado, adelanto que no puede prosperar.</w:t>
      </w:r>
    </w:p>
    <w:p>
      <w:pPr>
        <w:pStyle w:val="[Normal]"/>
        <w:spacing w:line="360" w:lineRule="auto"/>
        <w:ind w:firstLine="1134"/>
        <w:jc w:val="both"/>
        <w:rPr>
          <w:lang w:val="es-AR" w:eastAsia="es-AR" w:bidi="es-AR"/>
        </w:rPr>
      </w:pPr>
      <w:r>
        <w:rPr>
          <w:lang w:val="es-AR" w:eastAsia="es-AR" w:bidi="es-AR"/>
        </w:rPr>
        <w:t xml:space="preserve">Es que, tal remedio contemplado en el art. 253 del C.P.C.C. se encuentra comprendido en el de apelación y se halla circunscripto a salvaguardar las exigencias formales impuestas a la sentencia (arts. 18, Const. Nac.; 15, 168 y 171, Const. Prov.; 163, C.P.C.C.). Por lo tanto, la nulidad de la sentencia sólo procede cuando la misma adolece de vicios o defectos de forma o construcción que la descalifiquen como acto jurisdiccional válido (ej. falta de lugar y fecha; falta de fundamentación; violación del principio de congruencia), es decir, cuando se ha dictado sin observancia de los requisitos que emanan de la ley, siempre que tales vicios no puedan ser reparados al tratarse el recurso de apelación, situación que se daría cuando esta afectada la fundamentación del decisorio de tal modo que ello se proyecta sobre la posibilidad de impugnar la misma, donde la solución nulitiva surge insoslayable (arts. 34 inc. 5, 163, 253 y 384, C.P.C.C.) (cfr. CC0201 LP 120811 296 S 10/10/2023 Juez SOSA AUBONE (SD) JUBA B259038).</w:t>
      </w:r>
    </w:p>
    <w:p>
      <w:pPr>
        <w:pStyle w:val="[Normal]"/>
        <w:spacing w:line="360" w:lineRule="auto"/>
        <w:ind w:firstLine="1134"/>
        <w:jc w:val="both"/>
        <w:rPr>
          <w:lang w:val="es-AR" w:eastAsia="es-AR" w:bidi="es-AR"/>
        </w:rPr>
      </w:pPr>
      <w:r>
        <w:rPr>
          <w:lang w:val="es-AR" w:eastAsia="es-AR" w:bidi="es-AR"/>
        </w:rPr>
        <w:t xml:space="preserve">En el caso, los agravios del recurrente se dirigen a cuestionar la valoración efectuada respecto de la base regulatoria y la exclusión de determinadas tasaciones provenientes de otro expediente sucesorio, así como la interpretación del art. 35 de la ley 14.967. </w:t>
      </w:r>
    </w:p>
    <w:p>
      <w:pPr>
        <w:pStyle w:val="[Normal]"/>
        <w:spacing w:line="360" w:lineRule="auto"/>
        <w:ind w:firstLine="1134"/>
        <w:jc w:val="both"/>
        <w:rPr>
          <w:lang w:val="es-AR" w:eastAsia="es-AR" w:bidi="es-AR"/>
        </w:rPr>
      </w:pPr>
      <w:r>
        <w:rPr>
          <w:lang w:val="es-AR" w:eastAsia="es-AR" w:bidi="es-AR"/>
        </w:rPr>
        <w:t xml:space="preserve">Tales planteos remiten a discrepancias con el criterio jurídico adoptado, mas no evidencian la existencia de vicios formales, omisiones esenciales del procedimiento ni indefensión.</w:t>
      </w:r>
    </w:p>
    <w:p>
      <w:pPr>
        <w:pStyle w:val="[Normal]"/>
        <w:spacing w:line="360" w:lineRule="auto"/>
        <w:ind w:firstLine="1134"/>
        <w:jc w:val="both"/>
        <w:rPr>
          <w:lang w:val="es-AR" w:eastAsia="es-AR" w:bidi="es-AR"/>
        </w:rPr>
      </w:pPr>
      <w:r>
        <w:rPr>
          <w:lang w:val="es-AR" w:eastAsia="es-AR" w:bidi="es-AR"/>
        </w:rPr>
        <w:t xml:space="preserve">La resolución impugnada se encuentra debidamente fundada, identifica las normas aplicadas y explicita las razones por las cuales no se consideraron las tasaciones provenientes de otro proceso, lo que excluye la configuración de una nulidad por falta de motivación.</w:t>
      </w:r>
    </w:p>
    <w:p>
      <w:pPr>
        <w:pStyle w:val="[Normal]"/>
        <w:spacing w:line="360" w:lineRule="auto"/>
        <w:ind w:firstLine="1134"/>
        <w:jc w:val="both"/>
        <w:rPr>
          <w:lang w:val="es-AR" w:eastAsia="es-AR" w:bidi="es-AR"/>
        </w:rPr>
      </w:pPr>
      <w:r>
        <w:rPr>
          <w:lang w:val="es-AR" w:eastAsia="es-AR" w:bidi="es-AR"/>
        </w:rPr>
        <w:t xml:space="preserve">No se advierte la alegada omisión de prueba, desde que el órgano jurisdiccional expresó su criterio respecto de la inaplicabilidad de la documental invocada, lo que importa su valoración expresa.</w:t>
      </w:r>
    </w:p>
    <w:p>
      <w:pPr>
        <w:pStyle w:val="[Normal]"/>
        <w:spacing w:line="360" w:lineRule="auto"/>
        <w:ind w:firstLine="1134"/>
        <w:jc w:val="both"/>
        <w:rPr>
          <w:lang w:val="es-AR" w:eastAsia="es-AR" w:bidi="es-AR"/>
        </w:rPr>
      </w:pPr>
      <w:r>
        <w:rPr>
          <w:lang w:val="es-AR" w:eastAsia="es-AR" w:bidi="es-AR"/>
        </w:rPr>
        <w:t xml:space="preserve">En particular, la introducción en esta instancia de planteos vinculados con la eventual necesidad de acudir a otros mecanismos de determinación de la base regulatoria no configura un agravio propio del recurso de nulidad, en tanto remite a cuestiones de derecho arancelario ajenas al control de validez formal del pronunciamiento.</w:t>
      </w:r>
    </w:p>
    <w:p>
      <w:pPr>
        <w:pStyle w:val="[Normal]"/>
        <w:spacing w:line="360" w:lineRule="auto"/>
        <w:ind w:firstLine="1134"/>
        <w:jc w:val="both"/>
        <w:rPr>
          <w:lang w:val="es-AR" w:eastAsia="es-AR" w:bidi="es-AR"/>
        </w:rPr>
      </w:pPr>
      <w:r>
        <w:rPr>
          <w:lang w:val="es-AR" w:eastAsia="es-AR" w:bidi="es-AR"/>
        </w:rPr>
        <w:t xml:space="preserve">Tampoco se configura violación del debido proceso ni afectación concreta del derecho de defensa.</w:t>
      </w:r>
    </w:p>
    <w:p>
      <w:pPr>
        <w:pStyle w:val="[Normal]"/>
        <w:spacing w:line="360" w:lineRule="auto"/>
        <w:ind w:firstLine="1134"/>
        <w:jc w:val="both"/>
        <w:rPr>
          <w:lang w:val="es-AR" w:eastAsia="es-AR" w:bidi="es-AR"/>
        </w:rPr>
      </w:pPr>
      <w:r>
        <w:rPr>
          <w:lang w:val="es-AR" w:eastAsia="es-AR" w:bidi="es-AR"/>
        </w:rPr>
        <w:t xml:space="preserve">Por ello, el recurso de nulidad debe ser rechazado.</w:t>
      </w:r>
    </w:p>
    <w:p>
      <w:pPr>
        <w:pStyle w:val="[Normal]"/>
        <w:spacing w:line="360" w:lineRule="auto"/>
        <w:ind w:firstLine="1134"/>
        <w:jc w:val="both"/>
        <w:rPr>
          <w:lang w:val="es-AR" w:eastAsia="es-AR" w:bidi="es-AR"/>
        </w:rPr>
      </w:pPr>
      <w:r>
        <w:rPr>
          <w:lang w:val="es-AR" w:eastAsia="es-AR" w:bidi="es-AR"/>
        </w:rPr>
        <w:t xml:space="preserve">Ya en cuanto a la apelación , el agravio central del recurrente se dirige a cuestionar la base económica adoptada para la regulación de sus honorarios, en tanto el juzgado de grado se apartó de tasaciones acompañadas en otro expediente sucesorio, optando por la valuación fiscal del inmueble denunciado en autos.</w:t>
      </w:r>
    </w:p>
    <w:p>
      <w:pPr>
        <w:pStyle w:val="[Normal]"/>
        <w:spacing w:line="360" w:lineRule="auto"/>
        <w:ind w:firstLine="1134"/>
        <w:jc w:val="both"/>
        <w:rPr>
          <w:lang w:val="es-AR" w:eastAsia="es-AR" w:bidi="es-AR"/>
        </w:rPr>
      </w:pPr>
      <w:r>
        <w:rPr>
          <w:lang w:val="es-AR" w:eastAsia="es-AR" w:bidi="es-AR"/>
        </w:rPr>
        <w:t xml:space="preserve">La cuestión aparece delimitada por la oposición formulada por las restantes herederas a la utilización de dichas tasaciones como parámetro de cuantificación (ver presentación del 15/9/25). En rigor, la discusión no se centra en su autenticidad, sino en su aptitud para integrar la base regulatoria en este proceso.</w:t>
      </w:r>
    </w:p>
    <w:p>
      <w:pPr>
        <w:pStyle w:val="[Normal]"/>
        <w:spacing w:line="360" w:lineRule="auto"/>
        <w:ind w:firstLine="1134"/>
        <w:jc w:val="both"/>
        <w:rPr>
          <w:lang w:val="es-AR" w:eastAsia="es-AR" w:bidi="es-AR"/>
        </w:rPr>
      </w:pPr>
      <w:r>
        <w:rPr>
          <w:lang w:val="es-AR" w:eastAsia="es-AR" w:bidi="es-AR"/>
        </w:rPr>
        <w:t xml:space="preserve">En tal sentido, la base regulatoria debe construirse a partir de elementos incorporados al expediente con aptitud contradictoria o aceptados como parámetro común entre las partes, o bien determinados judicialmente conforme las previsiones legales aplicables. Las tasaciones provenientes de otro proceso carecen de incorporación como elemento propio de estos actuados, de modo que su utilización como base de cálculo importaría prescindir del principio de contradicción y del control de las partes intervinientes.</w:t>
      </w:r>
    </w:p>
    <w:p>
      <w:pPr>
        <w:pStyle w:val="[Normal]"/>
        <w:spacing w:line="360" w:lineRule="auto"/>
        <w:ind w:firstLine="1134"/>
        <w:jc w:val="both"/>
        <w:rPr>
          <w:lang w:val="es-AR" w:eastAsia="es-AR" w:bidi="es-AR"/>
        </w:rPr>
      </w:pPr>
      <w:r>
        <w:rPr>
          <w:lang w:val="es-AR" w:eastAsia="es-AR" w:bidi="es-AR"/>
        </w:rPr>
        <w:t xml:space="preserve">Cabe añadir que la interpretación del proveído de fecha 11/9/25 no autoriza a concluir que se hubiera reconocido la procedencia de dichas tasaciones como base regulatoria. Dicho despacho tuvo por objeto exclusivamente requerir aclaraciones a la parte interesada respecto del criterio de valuación pretendido, sin que de ello pueda derivarse una admisión jurisdiccional ni una habilitación para su utilización automática a los fines arancelarios.</w:t>
      </w:r>
    </w:p>
    <w:p>
      <w:pPr>
        <w:pStyle w:val="[Normal]"/>
        <w:spacing w:line="360" w:lineRule="auto"/>
        <w:ind w:firstLine="1134"/>
        <w:jc w:val="both"/>
        <w:rPr>
          <w:lang w:val="es-AR" w:eastAsia="es-AR" w:bidi="es-AR"/>
        </w:rPr>
      </w:pPr>
      <w:r>
        <w:rPr>
          <w:lang w:val="es-AR" w:eastAsia="es-AR" w:bidi="es-AR"/>
        </w:rPr>
        <w:t xml:space="preserve">En lo relativo al agravio vinculado con el último párrafo del art. 35 inc. b) de la ley 14.967, corresponde señalar que el cuestionamiento resulta inconducente para modificar lo resuelto, desde que la regulación practicada en la instancia de origen no se sustentó en la aplicación de dicha previsión excepcional relativa al inmueble destinado a vivienda familiar.</w:t>
      </w:r>
    </w:p>
    <w:p>
      <w:pPr>
        <w:pStyle w:val="[Normal]"/>
        <w:spacing w:line="360" w:lineRule="auto"/>
        <w:ind w:firstLine="1134"/>
        <w:jc w:val="both"/>
        <w:rPr>
          <w:lang w:val="es-AR" w:eastAsia="es-AR" w:bidi="es-AR"/>
        </w:rPr>
      </w:pPr>
      <w:r>
        <w:rPr>
          <w:lang w:val="es-AR" w:eastAsia="es-AR" w:bidi="es-AR"/>
        </w:rPr>
        <w:t xml:space="preserve">En efecto, el juzgado tomó como base regulatoria la valuación consignada en la declaración jurada patrimonial presentada en autos el 28/6/24 y posteriormente admitida en la resolución recurrida, correspondiente al inmueble denunciado en el sucesorio.</w:t>
      </w:r>
    </w:p>
    <w:p>
      <w:pPr>
        <w:pStyle w:val="[Normal]"/>
        <w:spacing w:line="360" w:lineRule="auto"/>
        <w:ind w:firstLine="1134"/>
        <w:jc w:val="both"/>
        <w:rPr>
          <w:lang w:val="es-AR" w:eastAsia="es-AR" w:bidi="es-AR"/>
        </w:rPr>
      </w:pPr>
      <w:r>
        <w:rPr>
          <w:lang w:val="es-AR" w:eastAsia="es-AR" w:bidi="es-AR"/>
        </w:rPr>
        <w:t xml:space="preserve">De tal modo, la determinación de la base económica no derivó de la aplicación del supuesto excepcional invocado por el apelante, sino de la utilización de la valuación fiscal incorporada al expediente por el mismo y consolidada procesalmente mediante la aprobación de la declaración jurada patrimonial.</w:t>
      </w:r>
    </w:p>
    <w:p>
      <w:pPr>
        <w:pStyle w:val="[Normal]"/>
        <w:spacing w:line="360" w:lineRule="auto"/>
        <w:ind w:firstLine="1134"/>
        <w:jc w:val="both"/>
        <w:rPr>
          <w:lang w:val="es-AR" w:eastAsia="es-AR" w:bidi="es-AR"/>
        </w:rPr>
      </w:pPr>
      <w:r>
        <w:rPr>
          <w:lang w:val="es-AR" w:eastAsia="es-AR" w:bidi="es-AR"/>
        </w:rPr>
        <w:t xml:space="preserve">En tales condiciones, las consideraciones efectuadas por el recurrente acerca de la inexistencia de los presupuestos previstos en el último párrafo del art. 35 inc. b) de la ley 14.967 no resultan idóneas para desvirtuar la base regulatoria adoptada, en tanto se trata de la valuación fiscal del inmueble incorporada al expediente y considerada por la instancia de grado.</w:t>
      </w:r>
    </w:p>
    <w:p>
      <w:pPr>
        <w:pStyle w:val="[Normal]"/>
        <w:spacing w:line="360" w:lineRule="auto"/>
        <w:ind w:firstLine="1134"/>
        <w:jc w:val="both"/>
        <w:rPr>
          <w:lang w:val="es-AR" w:eastAsia="es-AR" w:bidi="es-AR"/>
        </w:rPr>
      </w:pPr>
      <w:r>
        <w:rPr>
          <w:lang w:val="es-AR" w:eastAsia="es-AR" w:bidi="es-AR"/>
        </w:rPr>
        <w:t xml:space="preserve">En relación con la invocación del procedimiento previsto por el art. 27 inc. a) de la ley 14.967, corresponde señalar que el recurrente no sólo no instó oportunamente su aplicación en la instancia de origen, sino que, requerido expresamente por el juzgado mediante providencia de fecha 11/9/25 para que precisara si pretendía la regulación mediante dicho mecanismo o sobre la base de las tasaciones acompañadas, optó expresamente por esta última alternativa en su presentación de fecha 23/9/25.</w:t>
      </w:r>
    </w:p>
    <w:p>
      <w:pPr>
        <w:pStyle w:val="[Normal]"/>
        <w:spacing w:line="360" w:lineRule="auto"/>
        <w:ind w:firstLine="1134"/>
        <w:jc w:val="both"/>
        <w:rPr>
          <w:lang w:val="es-AR" w:eastAsia="es-AR" w:bidi="es-AR"/>
        </w:rPr>
      </w:pPr>
      <w:r>
        <w:rPr>
          <w:lang w:val="es-AR" w:eastAsia="es-AR" w:bidi="es-AR"/>
        </w:rPr>
        <w:t xml:space="preserve">En consecuencia, consintió que la cuestión relativa a la determinación de la base regulatoria quedara circunscripta al análisis de las tasaciones cuya valoración pretendía, descartando la apertura del procedimiento contemplado en el citado art. 27 inc. a).</w:t>
      </w:r>
    </w:p>
    <w:p>
      <w:pPr>
        <w:pStyle w:val="[Normal]"/>
        <w:spacing w:line="360" w:lineRule="auto"/>
        <w:ind w:firstLine="1134"/>
        <w:jc w:val="both"/>
        <w:rPr>
          <w:lang w:val="es-AR" w:eastAsia="es-AR" w:bidi="es-AR"/>
        </w:rPr>
      </w:pPr>
      <w:r>
        <w:rPr>
          <w:lang w:val="es-AR" w:eastAsia="es-AR" w:bidi="es-AR"/>
        </w:rPr>
        <w:t xml:space="preserve">En consecuencia, resulta extemporáneo introducir recién en esta instancia un agravio sustentado en la ausencia de una tasación judicial cuya producción no sólo no fue oportunamente promovida, sino que fue expresamente desplazada por el propio apelante. Admitir tal planteo importaría vulnerar los principios de preclusión y congruencia que rigen el proceso, además de contradecir los propios actos procesales del recurrente.</w:t>
      </w:r>
    </w:p>
    <w:p>
      <w:pPr>
        <w:pStyle w:val="[Normal]"/>
        <w:spacing w:line="360" w:lineRule="auto"/>
        <w:ind w:firstLine="1134"/>
        <w:jc w:val="both"/>
        <w:rPr>
          <w:lang w:val="es-AR" w:eastAsia="es-AR" w:bidi="es-AR"/>
        </w:rPr>
      </w:pPr>
      <w:r>
        <w:rPr>
          <w:lang w:val="es-AR" w:eastAsia="es-AR" w:bidi="es-AR"/>
        </w:rPr>
        <w:t xml:space="preserve">En punto al agravio dirigido a cuestionar la regulación de honorarios efectuada a favor de la Dra. Raquel Amaya Sierra, el mismo resulta inadmisible, en tanto el recurrente carece de legitimación recursiva para impugnar una regulación que no incide de modo directo en su esfera jurídica.</w:t>
      </w:r>
    </w:p>
    <w:p>
      <w:pPr>
        <w:pStyle w:val="[Normal]"/>
        <w:spacing w:line="360" w:lineRule="auto"/>
        <w:ind w:firstLine="1134"/>
        <w:jc w:val="both"/>
        <w:rPr>
          <w:lang w:val="es-AR" w:eastAsia="es-AR" w:bidi="es-AR"/>
        </w:rPr>
      </w:pPr>
      <w:r>
        <w:rPr>
          <w:lang w:val="es-AR" w:eastAsia="es-AR" w:bidi="es-AR"/>
        </w:rPr>
        <w:t xml:space="preserve">En efecto, tratándose de emolumentos a cargo de la masa sucesoria, el interés recursivo corresponde, en su caso, a quienes resulten obligados al pago, esto es, las partes herederas, sin que el letrado interviniente pueda válidamente cuestionarla por derecho propio.</w:t>
      </w:r>
    </w:p>
    <w:p>
      <w:pPr>
        <w:pStyle w:val="[Normal]"/>
        <w:spacing w:line="360" w:lineRule="auto"/>
        <w:ind w:firstLine="1134"/>
        <w:jc w:val="both"/>
        <w:rPr>
          <w:lang w:val="es-AR" w:eastAsia="es-AR" w:bidi="es-AR"/>
        </w:rPr>
      </w:pPr>
      <w:r>
        <w:rPr>
          <w:lang w:val="es-AR" w:eastAsia="es-AR" w:bidi="es-AR"/>
        </w:rPr>
        <w:t xml:space="preserve">Finalmente, la queja relativa al monto regulado no posee autonomía argumental suficiente. Ello así, en tanto no introduce críticas específicas respecto de la aplicación de la escala legal ni de la ponderación de las tareas profesionales, sino que se limita a cuestionar la base económica adoptada, agravio que ha sido precedentemente desestimado, lo que priva a la impugnación de entidad autónoma para su tratamiento diferenciado.</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Scaraffía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w:t>
      </w:r>
    </w:p>
    <w:p>
      <w:pPr>
        <w:pStyle w:val="[Normal]"/>
        <w:spacing w:line="360" w:lineRule="auto"/>
        <w:ind w:firstLine="1134"/>
        <w:jc w:val="both"/>
        <w:rPr>
          <w:lang w:val="es-AR" w:eastAsia="es-AR" w:bidi="es-AR"/>
        </w:rPr>
      </w:pPr>
      <w:r>
        <w:rPr>
          <w:lang w:val="es-AR" w:eastAsia="es-AR" w:bidi="es-AR"/>
        </w:rPr>
        <w:t xml:space="preserve">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los recursos de nulidad y apelación deducidos, y en consecuencia confirmar el decisorio puesto en crisis.</w:t>
      </w:r>
    </w:p>
    <w:p>
      <w:pPr>
        <w:pStyle w:val="[Normal]"/>
        <w:spacing w:line="360" w:lineRule="auto"/>
        <w:ind w:firstLine="1134"/>
        <w:jc w:val="both"/>
        <w:rPr>
          <w:b/>
          <w:lang w:val="es-AR" w:eastAsia="es-AR" w:bidi="es-AR"/>
        </w:rPr>
      </w:pPr>
      <w:r>
        <w:rPr>
          <w:lang w:val="es-AR" w:eastAsia="es-AR" w:bidi="es-AR"/>
        </w:rPr>
        <w:t xml:space="preserve">Costas de Alzada a la recurrente vencida</w:t>
      </w:r>
      <w:r>
        <w:rPr>
          <w:b/>
          <w:lang w:val="es-AR" w:eastAsia="es-AR" w:bidi="es-AR"/>
        </w:rPr>
        <w:t xml:space="preserve"> </w:t>
      </w:r>
      <w:r>
        <w:rPr>
          <w:lang w:val="es-AR" w:eastAsia="es-AR" w:bidi="es-AR"/>
        </w:rPr>
        <w:t xml:space="preserve">(art. 68 CPCC).</w:t>
      </w:r>
    </w:p>
    <w:p>
      <w:pPr>
        <w:pStyle w:val="[Normal]"/>
        <w:spacing w:line="360" w:lineRule="auto"/>
        <w:ind w:firstLine="1134"/>
        <w:jc w:val="both"/>
        <w:rPr>
          <w:b/>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Scaraffía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Desestimar los recursos de nulidad y apelación deducidos, y en consecuencia confirmar el decisorio puesto en crisis.</w:t>
      </w:r>
    </w:p>
    <w:p>
      <w:pPr>
        <w:pStyle w:val="[Normal]"/>
        <w:spacing w:line="360" w:lineRule="auto"/>
        <w:ind w:firstLine="1134"/>
        <w:jc w:val="both"/>
        <w:rPr>
          <w:b/>
          <w:lang w:val="es-AR" w:eastAsia="es-AR" w:bidi="es-AR"/>
        </w:rPr>
      </w:pPr>
      <w:r>
        <w:rPr>
          <w:lang w:val="es-AR" w:eastAsia="es-AR" w:bidi="es-AR"/>
        </w:rPr>
        <w:t xml:space="preserve">Costas de Alzada a la recurrente vencida</w:t>
      </w:r>
      <w:r>
        <w:rPr>
          <w:b/>
          <w:lang w:val="es-AR" w:eastAsia="es-AR" w:bidi="es-AR"/>
        </w:rPr>
        <w:t xml:space="preserve"> </w:t>
      </w:r>
      <w:r>
        <w:rPr>
          <w:lang w:val="es-AR" w:eastAsia="es-AR" w:bidi="es-AR"/>
        </w:rPr>
        <w:t xml:space="preserve">(art. 68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21/05/2026 10:26:11 -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21/05/2026 11:23:08 -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21/05/2026 12:54:50 -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‰8]")è&amp;v9}+Š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246102090006862593</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21/05/2026 12:55:04 hs. bajo el número RS-84-2026 por PE\LBIANCO LUIS MARIA.</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