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6041-26</w:t>
      </w:r>
      <w:r>
        <w:rPr>
          <w:lang w:val="es-AR" w:eastAsia="es-AR" w:bidi="es-AR"/>
        </w:rPr>
        <w:t xml:space="preserve"> caratulada </w:t>
      </w:r>
      <w:r>
        <w:rPr>
          <w:b/>
          <w:lang w:val="es-AR" w:eastAsia="es-AR" w:bidi="es-AR"/>
        </w:rPr>
        <w:t xml:space="preserve">"</w:t>
      </w:r>
      <w:r>
        <w:rPr>
          <w:b/>
          <w:color w:val="000000"/>
          <w:lang w:val="es-AR" w:eastAsia="es-AR" w:bidi="es-AR"/>
        </w:rPr>
        <w:t xml:space="preserve">ANGEL MELANIE DE LOS ANGELES Y OTRO/A C/ PERETTI MARCELO RUBÉN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90.369</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I. La Sra. Jueza de la instancia anterior homologó el acuerdo agregado por las partes, con costas a cargo de la citada en garantía. </w:t>
      </w:r>
    </w:p>
    <w:p>
      <w:pPr>
        <w:pStyle w:val="[Normal]"/>
        <w:spacing w:line="360" w:lineRule="auto"/>
        <w:ind w:firstLine="1134"/>
        <w:jc w:val="both"/>
        <w:rPr>
          <w:lang w:val="es-AR" w:eastAsia="es-AR" w:bidi="es-AR"/>
        </w:rPr>
      </w:pPr>
      <w:r>
        <w:rPr>
          <w:lang w:val="es-AR" w:eastAsia="es-AR" w:bidi="es-AR"/>
        </w:rPr>
        <w:t xml:space="preserve">En otro orden, reguló los honorarios profesionales de los letrados intervinientes Dres. Leandro Martín Fernández (7 jus) y Ricardo Labaronnie (2 jus, mínimo requerido), por las tareas de autos, e hizo lo propio en relación a los Peritos Oficiales Javier Ferreti, Marcela Polizzi y Ivana Riguetti ($10.000 c/u). Además determinó los honorarios de la mediadora designada en autos, Dra. Yanina Daut, por su labor desarrollada en la etapa previa en la suma equivalente a 2,18 jus de unidad arancelaria.</w:t>
      </w:r>
    </w:p>
    <w:p>
      <w:pPr>
        <w:pStyle w:val="[Normal]"/>
        <w:spacing w:line="360" w:lineRule="auto"/>
        <w:ind w:firstLine="1134"/>
        <w:jc w:val="both"/>
        <w:rPr>
          <w:lang w:val="es-AR" w:eastAsia="es-AR" w:bidi="es-AR"/>
        </w:rPr>
      </w:pPr>
      <w:r>
        <w:rPr>
          <w:lang w:val="es-AR" w:eastAsia="es-AR" w:bidi="es-AR"/>
        </w:rPr>
        <w:t xml:space="preserve">Lo decidido fue apelado por la citada en garantía el 23/3/26, quien fundó tal recurso en fecha 30/3/26, el que fuera contestado por la mediadora el 1/4/26.</w:t>
      </w:r>
    </w:p>
    <w:p>
      <w:pPr>
        <w:pStyle w:val="[Normal]"/>
        <w:spacing w:line="360" w:lineRule="auto"/>
        <w:ind w:firstLine="1134"/>
        <w:jc w:val="both"/>
        <w:rPr>
          <w:lang w:val="es-AR" w:eastAsia="es-AR" w:bidi="es-AR"/>
        </w:rPr>
      </w:pPr>
      <w:r>
        <w:rPr>
          <w:lang w:val="es-AR" w:eastAsia="es-AR" w:bidi="es-AR"/>
        </w:rPr>
        <w:t xml:space="preserve">Arribada la causa a este Tribunal el 16/4/26 se llama a autos para resolver, providencia que firme a la fecha deja el expediente en condiciones de ser resuelto.</w:t>
      </w:r>
    </w:p>
    <w:p>
      <w:pPr>
        <w:pStyle w:val="[Normal]"/>
        <w:spacing w:line="360" w:lineRule="auto"/>
        <w:ind w:firstLine="1134"/>
        <w:jc w:val="both"/>
        <w:rPr>
          <w:lang w:val="es-AR" w:eastAsia="es-AR" w:bidi="es-AR"/>
        </w:rPr>
      </w:pPr>
      <w:r>
        <w:rPr>
          <w:u w:val="single"/>
          <w:lang w:val="es-AR" w:eastAsia="es-AR" w:bidi="es-AR"/>
        </w:rPr>
        <w:t xml:space="preserve">II. Agravios de la Apelante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Cuestiona la regulación de honorarios de la mediadora prejudicial, aduciendo que resultan excesivos y desproporcionados en relación con el monto del acuerdo alcanzado ($1.000.000), que representan más del 10% del mismo.</w:t>
      </w:r>
    </w:p>
    <w:p>
      <w:pPr>
        <w:pStyle w:val="[Normal]"/>
        <w:spacing w:line="360" w:lineRule="auto"/>
        <w:ind w:firstLine="1134"/>
        <w:jc w:val="both"/>
        <w:rPr>
          <w:lang w:val="es-AR" w:eastAsia="es-AR" w:bidi="es-AR"/>
        </w:rPr>
      </w:pPr>
      <w:r>
        <w:rPr>
          <w:lang w:val="es-AR" w:eastAsia="es-AR" w:bidi="es-AR"/>
        </w:rPr>
        <w:t xml:space="preserve">Afirma que la intervención del mediador se limitó a una sola audiencia de corta duración, sin implicar labores jurídicas complejas, estrategias o responsabilidad significativa, lo que evidencia una desproporción entre la retribución fijada y la labor efectivamente realizada.</w:t>
      </w:r>
    </w:p>
    <w:p>
      <w:pPr>
        <w:pStyle w:val="[Normal]"/>
        <w:spacing w:line="360" w:lineRule="auto"/>
        <w:ind w:firstLine="1134"/>
        <w:jc w:val="both"/>
        <w:rPr>
          <w:lang w:val="es-AR" w:eastAsia="es-AR" w:bidi="es-AR"/>
        </w:rPr>
      </w:pPr>
      <w:r>
        <w:rPr>
          <w:lang w:val="es-AR" w:eastAsia="es-AR" w:bidi="es-AR"/>
        </w:rPr>
        <w:t xml:space="preserve">Expone que la Corte Suprema de Justicia de la Nación ha señalado que para la impugnación constitucional de la regulación de honorarios se requiere que ésta sea irrazonable o arbitraria, debiendo guardar adecuada proporción con la labor realizada y la cuantía de los intereses debatidos (CSJN, “Bertani”; “Iturraspe”; “Lemme”).</w:t>
      </w:r>
    </w:p>
    <w:p>
      <w:pPr>
        <w:pStyle w:val="[Normal]"/>
        <w:spacing w:line="360" w:lineRule="auto"/>
        <w:ind w:firstLine="1134"/>
        <w:jc w:val="both"/>
        <w:rPr>
          <w:lang w:val="es-AR" w:eastAsia="es-AR" w:bidi="es-AR"/>
        </w:rPr>
      </w:pPr>
      <w:r>
        <w:rPr>
          <w:lang w:val="es-AR" w:eastAsia="es-AR" w:bidi="es-AR"/>
        </w:rPr>
        <w:t xml:space="preserve">Agrega que conforme el Art. 16 de la Ley 14.967, la regulación de honorarios debe considerar el monto del asunto, la complejidad, la responsabilidad, el resultado obtenido y el tiempo empleado; principios que no fueron observados al fijar los emolumentos del mediador, limitándose únicamente al monto del acuerdo.</w:t>
      </w:r>
    </w:p>
    <w:p>
      <w:pPr>
        <w:pStyle w:val="[Normal]"/>
        <w:spacing w:line="360" w:lineRule="auto"/>
        <w:ind w:firstLine="1134"/>
        <w:jc w:val="both"/>
        <w:rPr>
          <w:lang w:val="es-AR" w:eastAsia="es-AR" w:bidi="es-AR"/>
        </w:rPr>
      </w:pPr>
      <w:r>
        <w:rPr>
          <w:lang w:val="es-AR" w:eastAsia="es-AR" w:bidi="es-AR"/>
        </w:rPr>
        <w:t xml:space="preserve">Sostiene que la regulación cuestionada excede los límites previstos por el Art. 730 del Código Civil y Comercial de la Nación, que establece que el pago de costas no debe superar el 25% del monto del juicio, lo que evidencia una afectación al principio de proporcionalidad y al acceso a la justicia.</w:t>
      </w:r>
    </w:p>
    <w:p>
      <w:pPr>
        <w:pStyle w:val="[Normal]"/>
        <w:spacing w:line="360" w:lineRule="auto"/>
        <w:ind w:firstLine="1134"/>
        <w:jc w:val="both"/>
        <w:rPr>
          <w:b/>
          <w:lang w:val="es-AR" w:eastAsia="es-AR" w:bidi="es-AR"/>
        </w:rPr>
      </w:pPr>
      <w:r>
        <w:rPr>
          <w:lang w:val="es-AR" w:eastAsia="es-AR" w:bidi="es-AR"/>
        </w:rPr>
        <w:t xml:space="preserve">Cuestiona asimismo la existencia de una inequidad relativa entre los honorarios regulados a la mediadora y aquellos fijados a los profesionales que intervinieron en el proceso judicial, señalando que estos últimos desplegaron una labor de mayor extensión y complejidad, mientras que la retribución reconocida a aquélla resultaría desproporcionada en atención al alcance limitado de su intervención, criterio que dice encontrar respaldo en precedente jurisprudencial sobre la materia.</w:t>
      </w:r>
    </w:p>
    <w:p>
      <w:pPr>
        <w:pStyle w:val="[Normal]"/>
        <w:spacing w:line="360" w:lineRule="auto"/>
        <w:ind w:firstLine="1134"/>
        <w:jc w:val="both"/>
        <w:rPr>
          <w:lang w:val="es-AR" w:eastAsia="es-AR" w:bidi="es-AR"/>
        </w:rPr>
      </w:pPr>
      <w:r>
        <w:rPr>
          <w:lang w:val="es-AR" w:eastAsia="es-AR" w:bidi="es-AR"/>
        </w:rPr>
        <w:t xml:space="preserve">Por todo lo expuesto, solicita se reduzcan los honorarios del mediador de manera proporcional al valor del litigio, a la importancia y eficacia de la labor efectivamente realizada; en su caso, se declare la inconstitucionalidad de las normas provinciales que fundamentaron la regulación; y, alternativamente, se haga uso de la facultad morigeradora prevista en el Art. 1255 del CCCN.</w:t>
      </w:r>
    </w:p>
    <w:p>
      <w:pPr>
        <w:pStyle w:val="[Normal]"/>
        <w:spacing w:line="360" w:lineRule="auto"/>
        <w:ind w:firstLine="1134"/>
        <w:jc w:val="both"/>
        <w:rPr>
          <w:lang w:val="es-AR" w:eastAsia="es-AR" w:bidi="es-AR"/>
        </w:rPr>
      </w:pPr>
      <w:r>
        <w:rPr>
          <w:u w:val="single"/>
          <w:lang w:val="es-AR" w:eastAsia="es-AR" w:bidi="es-AR"/>
        </w:rPr>
        <w:t xml:space="preserve">III.Contestación Agravios</w:t>
      </w:r>
    </w:p>
    <w:p>
      <w:pPr>
        <w:pStyle w:val="[Normal]"/>
        <w:spacing w:line="360" w:lineRule="auto"/>
        <w:ind w:firstLine="1134"/>
        <w:jc w:val="both"/>
        <w:rPr>
          <w:lang w:val="es-AR" w:eastAsia="es-AR" w:bidi="es-AR"/>
        </w:rPr>
      </w:pPr>
      <w:r>
        <w:rPr>
          <w:lang w:val="es-AR" w:eastAsia="es-AR" w:bidi="es-AR"/>
        </w:rPr>
        <w:t xml:space="preserve">La mediadora prejudicial interviniente contesta el traslado conferido, solicitando el rechazo del recurso de apelación interpuesto.</w:t>
      </w:r>
    </w:p>
    <w:p>
      <w:pPr>
        <w:pStyle w:val="[Normal]"/>
        <w:spacing w:line="360" w:lineRule="auto"/>
        <w:ind w:firstLine="1134"/>
        <w:jc w:val="both"/>
        <w:rPr>
          <w:lang w:val="es-AR" w:eastAsia="es-AR" w:bidi="es-AR"/>
        </w:rPr>
      </w:pPr>
      <w:r>
        <w:rPr>
          <w:lang w:val="es-AR" w:eastAsia="es-AR" w:bidi="es-AR"/>
        </w:rPr>
        <w:t xml:space="preserve">Sostiene que la regulación practicada en su favor se encuentra ajustada a derecho, en tanto ha sido determinada conforme las previsiones del art. 31 de la Ley 13.951 y su decreto reglamentario 600/21, destacando la vigencia y obligatoriedad de la normativa arancelaria aplicable a la actuación de los mediadores prejudiciales.</w:t>
      </w:r>
    </w:p>
    <w:p>
      <w:pPr>
        <w:pStyle w:val="[Normal]"/>
        <w:spacing w:line="360" w:lineRule="auto"/>
        <w:ind w:firstLine="1134"/>
        <w:jc w:val="both"/>
        <w:rPr>
          <w:lang w:val="es-AR" w:eastAsia="es-AR" w:bidi="es-AR"/>
        </w:rPr>
      </w:pPr>
      <w:r>
        <w:rPr>
          <w:lang w:val="es-AR" w:eastAsia="es-AR" w:bidi="es-AR"/>
        </w:rPr>
        <w:t xml:space="preserve">Manifiesta su conformidad con el monto fijado, afirmando que el mismo se adecua a la naturaleza de la labor desarrollada y al régimen legal vigente.</w:t>
      </w:r>
    </w:p>
    <w:p>
      <w:pPr>
        <w:pStyle w:val="[Normal]"/>
        <w:spacing w:line="360" w:lineRule="auto"/>
        <w:ind w:firstLine="1134"/>
        <w:jc w:val="both"/>
        <w:rPr>
          <w:lang w:val="es-AR" w:eastAsia="es-AR" w:bidi="es-AR"/>
        </w:rPr>
      </w:pPr>
      <w:r>
        <w:rPr>
          <w:lang w:val="es-AR" w:eastAsia="es-AR" w:bidi="es-AR"/>
        </w:rPr>
        <w:t xml:space="preserve">Asimismo, refiere de manera general a la existencia de prácticas de resistencia al pago de los honorarios profesionales por parte de determinadas aseguradoras, señalando que tales conductas se reiteran en el ámbito de la mediación prejudicial obligatoria, con afectación del carácter alimentario de los estipendios regulados.</w:t>
      </w:r>
    </w:p>
    <w:p>
      <w:pPr>
        <w:pStyle w:val="[Normal]"/>
        <w:spacing w:line="360" w:lineRule="auto"/>
        <w:ind w:firstLine="1134"/>
        <w:jc w:val="both"/>
        <w:rPr>
          <w:b/>
          <w:lang w:val="es-AR" w:eastAsia="es-AR" w:bidi="es-AR"/>
        </w:rPr>
      </w:pPr>
      <w:r>
        <w:rPr>
          <w:lang w:val="es-AR" w:eastAsia="es-AR" w:bidi="es-AR"/>
        </w:rPr>
        <w:t xml:space="preserve">IV. 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w:t>
      </w:r>
      <w:r>
        <w:rPr>
          <w:b/>
          <w:lang w:val="es-AR" w:eastAsia="es-AR" w:bidi="es-AR"/>
        </w:rPr>
        <w:t xml:space="preserve"> </w:t>
      </w:r>
      <w:r>
        <w:rPr>
          <w:lang w:val="es-AR" w:eastAsia="es-AR" w:bidi="es-AR"/>
        </w:rPr>
        <w:t xml:space="preserve">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b/>
          <w:lang w:val="es-AR" w:eastAsia="es-AR" w:bidi="es-AR"/>
        </w:rPr>
      </w:pPr>
      <w:r>
        <w:rPr>
          <w:lang w:val="es-AR" w:eastAsia="es-AR" w:bidi="es-AR"/>
        </w:rPr>
        <w:t xml:space="preserve">Sentado ello, corresponde adentrarse en el tratamiento del recurso en tanto el agravio lo constituye el monto regulado a la Dra. Yanian Daut por su trabajo como Mediadora que en la instancia de origen se los determinó en la suma equivalente a 2,18 jus de unidad arancelaria y que la apelante entiende desproporcionados.</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que reducen la labor de la mediadora a la intervención en una sola audiencia de corta duración,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-3/1/25 hasta 26/5/25; artículos 31 de la ley 13.951 y 31 del decreto 600/21-, y meritando en dicho orden el monto que resulta de la transacción arribada en el proceso ($1.000.000), valor jus al momento de la regulación de primera instancia</w:t>
      </w:r>
      <w:r>
        <w:rPr>
          <w:b/>
          <w:lang w:val="es-AR" w:eastAsia="es-AR" w:bidi="es-AR"/>
        </w:rPr>
        <w:t xml:space="preserve"> </w:t>
      </w:r>
      <w:r>
        <w:rPr>
          <w:lang w:val="es-AR" w:eastAsia="es-AR" w:bidi="es-AR"/>
        </w:rPr>
        <w:t xml:space="preserve">$48.608</w:t>
      </w:r>
      <w:r>
        <w:rPr>
          <w:b/>
          <w:lang w:val="es-AR" w:eastAsia="es-AR" w:bidi="es-AR"/>
        </w:rPr>
        <w:t xml:space="preserve"> </w:t>
      </w:r>
      <w:r>
        <w:rPr>
          <w:lang w:val="es-AR" w:eastAsia="es-AR" w:bidi="es-AR"/>
        </w:rPr>
        <w:t xml:space="preserve">(Ac. 4222/26 SCBA), monto del asunto equivalente a</w:t>
      </w:r>
      <w:r>
        <w:rPr>
          <w:b/>
          <w:lang w:val="es-AR" w:eastAsia="es-AR" w:bidi="es-AR"/>
        </w:rPr>
        <w:t xml:space="preserve"> </w:t>
      </w:r>
      <w:r>
        <w:rPr>
          <w:lang w:val="es-AR" w:eastAsia="es-AR" w:bidi="es-AR"/>
        </w:rPr>
        <w:t xml:space="preserve">20,57 jus, los honorarios por las tareas de mediación han sido debidamente fijados en la suma equivalente a 2,18 jus de unidad</w:t>
      </w:r>
      <w:r>
        <w:rPr>
          <w:b/>
          <w:lang w:val="es-AR" w:eastAsia="es-AR" w:bidi="es-AR"/>
        </w:rPr>
        <w:t xml:space="preserve"> </w:t>
      </w:r>
      <w:r>
        <w:rPr>
          <w:lang w:val="es-AR" w:eastAsia="es-AR" w:bidi="es-AR"/>
        </w:rPr>
        <w:t xml:space="preserve">arancelaria (art. 31 inc.</w:t>
      </w:r>
      <w:r>
        <w:rPr>
          <w:b/>
          <w:lang w:val="es-AR" w:eastAsia="es-AR" w:bidi="es-AR"/>
        </w:rPr>
        <w:t xml:space="preserve"> </w:t>
      </w:r>
      <w:r>
        <w:rPr>
          <w:lang w:val="es-AR" w:eastAsia="es-AR" w:bidi="es-AR"/>
        </w:rPr>
        <w:t xml:space="preserve">"a"</w:t>
      </w:r>
      <w:r>
        <w:rPr>
          <w:b/>
          <w:lang w:val="es-AR" w:eastAsia="es-AR" w:bidi="es-AR"/>
        </w:rPr>
        <w:t xml:space="preserve"> </w:t>
      </w:r>
      <w:r>
        <w:rPr>
          <w:lang w:val="es-AR" w:eastAsia="es-AR" w:bidi="es-AR"/>
        </w:rPr>
        <w:t xml:space="preserve">del decreto 600/21). </w:t>
      </w:r>
    </w:p>
    <w:p>
      <w:pPr>
        <w:pStyle w:val="[Normal]"/>
        <w:spacing w:line="360" w:lineRule="auto"/>
        <w:ind w:firstLine="1134"/>
        <w:jc w:val="both"/>
        <w:rPr>
          <w:b/>
          <w:color w:val="000000"/>
          <w:lang w:val="es-AR" w:eastAsia="es-AR" w:bidi="es-AR"/>
        </w:rPr>
      </w:pPr>
      <w:r>
        <w:rPr>
          <w:lang w:val="es-AR" w:eastAsia="es-AR" w:bidi="es-AR"/>
        </w:rPr>
        <w:t xml:space="preserve">Por su parte, ha de recordarse que quedan excluidos del tope del art. 730 del CCYCN los honorarios regulados al mediador</w:t>
      </w:r>
      <w:r>
        <w:rPr>
          <w:color w:val="000000"/>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Es que el precepto normativo de referencia establece claramente que </w:t>
      </w:r>
      <w:r>
        <w:rPr>
          <w:i/>
          <w:lang w:val="es-AR" w:eastAsia="es-AR" w:bidi="es-AR"/>
        </w:rPr>
        <w:t xml:space="preserve">"...la responsabilidad por el pago de las costas, incluidos los honorarios profesionales, de todo tipo, allí devengados y correspondientes a la </w:t>
      </w:r>
      <w:r>
        <w:rPr>
          <w:i/>
          <w:u w:val="single"/>
          <w:lang w:val="es-AR" w:eastAsia="es-AR" w:bidi="es-AR"/>
        </w:rPr>
        <w:t xml:space="preserve">primera o única instancia</w:t>
      </w:r>
      <w:r>
        <w:rPr>
          <w:i/>
          <w:lang w:val="es-AR" w:eastAsia="es-AR" w:bidi="es-AR"/>
        </w:rPr>
        <w:t xml:space="preserve">, no debe exceder del veinticinco por ciento del monto de la sentencia, laudo, transacción o instrumento que ponga fin al diferendo..."</w:t>
      </w:r>
      <w:r>
        <w:rPr>
          <w:lang w:val="es-AR" w:eastAsia="es-AR" w:bidi="es-AR"/>
        </w:rPr>
        <w:t xml:space="preserve">, y la mediación es una instancia previa obligatoria, y que no está incluida en la primera o única instancia a que refiere dicho artículo </w:t>
      </w:r>
      <w:r>
        <w:rPr>
          <w:color w:val="000000"/>
          <w:lang w:val="es-AR" w:eastAsia="es-AR" w:bidi="es-AR"/>
        </w:rPr>
        <w:t xml:space="preserve">(</w:t>
      </w:r>
      <w:r>
        <w:rPr>
          <w:lang w:val="es-AR" w:eastAsia="es-AR" w:bidi="es-AR"/>
        </w:rPr>
        <w:t xml:space="preserve">cfr. CAP 4385 RSI 12-4-22 Reg. Nro. 56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Resta señalar que 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27220252839@NOTIFICACIONES.SCBA.GOV.AR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20336817170@NOTIFICACIONES.SCBA.GOV.AR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28/05/2026 09:37:18 -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28/05/2026 09:43:32 -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‰8:")è&amp;{l'6Š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242602090006917607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