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6017-26</w:t>
      </w:r>
      <w:r>
        <w:rPr>
          <w:lang w:val="es-AR" w:eastAsia="es-AR" w:bidi="es-AR"/>
        </w:rPr>
        <w:t xml:space="preserve"> caratulada </w:t>
      </w:r>
      <w:r>
        <w:rPr>
          <w:b/>
          <w:lang w:val="es-AR" w:eastAsia="es-AR" w:bidi="es-AR"/>
        </w:rPr>
        <w:t xml:space="preserve">"</w:t>
      </w:r>
      <w:r>
        <w:rPr>
          <w:b/>
          <w:color w:val="000000"/>
          <w:lang w:val="es-AR" w:eastAsia="es-AR" w:bidi="es-AR"/>
        </w:rPr>
        <w:t xml:space="preserve">DUARTE BLANCA NOEMI C/ CHEVROLET S.A DE AHORRO PARA FINES DETERMINADOS  S/ INCIDENTE DE REVISION</w:t>
      </w:r>
      <w:r>
        <w:rPr>
          <w:b/>
          <w:lang w:val="es-AR" w:eastAsia="es-AR" w:bidi="es-AR"/>
        </w:rPr>
        <w:t xml:space="preserve">"</w:t>
      </w:r>
      <w:r>
        <w:rPr>
          <w:lang w:val="es-AR" w:eastAsia="es-AR" w:bidi="es-AR"/>
        </w:rPr>
        <w:t xml:space="preserve">, Expte. </w:t>
      </w:r>
      <w:r>
        <w:rPr>
          <w:color w:val="000000"/>
          <w:lang w:val="es-AR" w:eastAsia="es-AR" w:bidi="es-AR"/>
        </w:rPr>
        <w:t xml:space="preserve">69.092</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desestimó in limine el incidente promovido por la recurrente, mediante el cual pretendía la revisión y rectificación de la liquidación aprobada el 8-10-2024 en los autos principales “Chevrolet S.A. de Ahorro para Fines Determinados c/ Duarte, Blanca Noemí y otro s/ ejecución prendaria”.</w:t>
      </w:r>
    </w:p>
    <w:p>
      <w:pPr>
        <w:pStyle w:val="[Normal]"/>
        <w:spacing w:line="360" w:lineRule="auto"/>
        <w:ind w:firstLine="1134"/>
        <w:jc w:val="both"/>
        <w:rPr>
          <w:lang w:val="es-AR" w:eastAsia="es-AR" w:bidi="es-AR"/>
        </w:rPr>
      </w:pPr>
      <w:r>
        <w:rPr>
          <w:lang w:val="es-AR" w:eastAsia="es-AR" w:bidi="es-AR"/>
        </w:rPr>
        <w:t xml:space="preserve">Disconforme con lo resuelto, apela la actora el día 3-3-2026, concedido en relación el 11-3-2026, fundado en el acto de su interposición. </w:t>
      </w:r>
    </w:p>
    <w:p>
      <w:pPr>
        <w:pStyle w:val="[Normal]"/>
        <w:spacing w:line="360" w:lineRule="auto"/>
        <w:ind w:firstLine="1134"/>
        <w:jc w:val="both"/>
        <w:rPr>
          <w:lang w:val="es-AR" w:eastAsia="es-AR" w:bidi="es-AR"/>
        </w:rPr>
      </w:pPr>
      <w:r>
        <w:rPr>
          <w:lang w:val="es-AR" w:eastAsia="es-AR" w:bidi="es-AR"/>
        </w:rPr>
        <w:t xml:space="preserve">Elevados los autos a esta Alzada, con fecha 17-3-2026 se dicta el llamamiento de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síntesis, la apelante se agravia por entender que el juez de grado aplicó erróneamente el art. 336 del CPCC al considerar improponible su pretensión, sosteniendo que no se trata de una impugnación tardía sino de un planteo de revisión fundado en normas de orden público, control de abusividad y teoría de la imprevisión.</w:t>
      </w:r>
    </w:p>
    <w:p>
      <w:pPr>
        <w:pStyle w:val="[Normal]"/>
        <w:spacing w:line="360" w:lineRule="auto"/>
        <w:ind w:firstLine="1134"/>
        <w:jc w:val="both"/>
        <w:rPr>
          <w:lang w:val="es-AR" w:eastAsia="es-AR" w:bidi="es-AR"/>
        </w:rPr>
      </w:pPr>
      <w:r>
        <w:rPr>
          <w:lang w:val="es-AR" w:eastAsia="es-AR" w:bidi="es-AR"/>
        </w:rPr>
        <w:t xml:space="preserve">Analizadas las constancias de la causa, adelanto que el recurso deducido no puede prosperar.</w:t>
      </w:r>
    </w:p>
    <w:p>
      <w:pPr>
        <w:pStyle w:val="[Normal]"/>
        <w:spacing w:line="360" w:lineRule="auto"/>
        <w:ind w:firstLine="1134"/>
        <w:jc w:val="both"/>
        <w:rPr>
          <w:lang w:val="es-AR" w:eastAsia="es-AR" w:bidi="es-AR"/>
        </w:rPr>
      </w:pPr>
      <w:r>
        <w:rPr>
          <w:lang w:val="es-AR" w:eastAsia="es-AR" w:bidi="es-AR"/>
        </w:rPr>
        <w:t xml:space="preserve">En efecto, más allá de la calificación que la parte intenta otorgarle a su pretensión, lo cierto es que el planteo articulado, bajo la apariencia de una impugnación de la liquidación oportunamente aprobada, se dirige a cuestionar no solo la base de cálculo del capital sino también el mecanismo de actualización dispuesto en la sentencia firme dictada en los autos principales el 28-3-2023, aspectos que remiten a la cuantificación del crédito reconocida en el proceso principal.</w:t>
      </w:r>
    </w:p>
    <w:p>
      <w:pPr>
        <w:pStyle w:val="[Normal]"/>
        <w:spacing w:line="360" w:lineRule="auto"/>
        <w:ind w:firstLine="1134"/>
        <w:jc w:val="both"/>
        <w:rPr>
          <w:lang w:val="es-AR" w:eastAsia="es-AR" w:bidi="es-AR"/>
        </w:rPr>
      </w:pPr>
      <w:r>
        <w:rPr>
          <w:lang w:val="es-AR" w:eastAsia="es-AR" w:bidi="es-AR"/>
        </w:rPr>
        <w:t xml:space="preserve">Si bien el juzgador de grado basó su decisión en la circunstancia de que la liquidación practicada en fecha 8-10-2024 no fue impugnada por la ejecutada dentro del plazo legal, quedando firme en los términos del art. 502 del CPCC, existe un fundamento aún más relevante para rechazar la pretensión de la recurrente.</w:t>
      </w:r>
    </w:p>
    <w:p>
      <w:pPr>
        <w:pStyle w:val="[Normal]"/>
        <w:spacing w:line="360" w:lineRule="auto"/>
        <w:ind w:firstLine="1134"/>
        <w:jc w:val="both"/>
        <w:rPr>
          <w:lang w:val="es-AR" w:eastAsia="es-AR" w:bidi="es-AR"/>
        </w:rPr>
      </w:pPr>
      <w:r>
        <w:rPr>
          <w:lang w:val="es-AR" w:eastAsia="es-AR" w:bidi="es-AR"/>
        </w:rPr>
        <w:t xml:space="preserve">Veamos. La parte actora promueve el presente incidente cuestionando la cuantificación del crédito por considerarla irrazonable y basada en un error sustancial derivado de la aplicación de lo que ella denomina “valor móvil”. Sin embargo, dicho “valor móvil” no surge de la liquidación en sí, sino que constituye la consecuencia directa de lo dispuesto en la sentencia de trance y remate, en cuanto estableció que la suma adeudada se reajustaría conforme lo pactado contractualmente.</w:t>
      </w:r>
    </w:p>
    <w:p>
      <w:pPr>
        <w:pStyle w:val="[Normal]"/>
        <w:spacing w:line="360" w:lineRule="auto"/>
        <w:ind w:firstLine="1134"/>
        <w:jc w:val="both"/>
        <w:rPr>
          <w:lang w:val="es-AR" w:eastAsia="es-AR" w:bidi="es-AR"/>
        </w:rPr>
      </w:pPr>
      <w:r>
        <w:rPr>
          <w:lang w:val="es-AR" w:eastAsia="es-AR" w:bidi="es-AR"/>
        </w:rPr>
        <w:t xml:space="preserve">Tal sentencia, dictada en fecha 28-3-2023, no fue recurrida por la parte demandada, encontrándose firme y pasada en autoridad de cosa juzgada.</w:t>
      </w:r>
    </w:p>
    <w:p>
      <w:pPr>
        <w:pStyle w:val="[Normal]"/>
        <w:spacing w:line="360" w:lineRule="auto"/>
        <w:ind w:firstLine="1134"/>
        <w:jc w:val="both"/>
        <w:rPr>
          <w:lang w:val="es-AR" w:eastAsia="es-AR" w:bidi="es-AR"/>
        </w:rPr>
      </w:pPr>
      <w:r>
        <w:rPr>
          <w:lang w:val="es-AR" w:eastAsia="es-AR" w:bidi="es-AR"/>
        </w:rPr>
        <w:t xml:space="preserve">Si bien las liquidaciones se aprueban en cuanto ha lugar por derecho, circunstancia que permite revisar las mismas y aún dejarlas sin efecto luego de aprobadas, ello sólo resulta procedente cuando se advierte que no se adecuan a las pautas fijadas en la sentencia o cuando median errores de cálculo, mas no cuando se ajustan a ella y tales pautas no fueron oportunamente cuestionadas (conf. CC0002 SI 77868 RSI-778-3 I 04/09/2003 JUBA B1750620).</w:t>
      </w:r>
    </w:p>
    <w:p>
      <w:pPr>
        <w:pStyle w:val="[Normal]"/>
        <w:spacing w:line="360" w:lineRule="auto"/>
        <w:ind w:firstLine="1134"/>
        <w:jc w:val="both"/>
        <w:rPr>
          <w:lang w:val="es-AR" w:eastAsia="es-AR" w:bidi="es-AR"/>
        </w:rPr>
      </w:pPr>
      <w:r>
        <w:rPr>
          <w:lang w:val="es-AR" w:eastAsia="es-AR" w:bidi="es-AR"/>
        </w:rPr>
        <w:t xml:space="preserve">Ello es precisamente lo que ocurre en el caso. La recurrente, aun cuando afirma no cuestionar la procedencia de la ejecución, pretende bajo la apariencia de una revisión de la liquidación modificar los parámetros establecidos en una sentencia firme, lo que resulta inadmisible en esta etapa procesal.</w:t>
      </w:r>
    </w:p>
    <w:p>
      <w:pPr>
        <w:pStyle w:val="[Normal]"/>
        <w:spacing w:line="360" w:lineRule="auto"/>
        <w:ind w:firstLine="1134"/>
        <w:jc w:val="both"/>
        <w:rPr>
          <w:lang w:val="es-AR" w:eastAsia="es-AR" w:bidi="es-AR"/>
        </w:rPr>
      </w:pPr>
      <w:r>
        <w:rPr>
          <w:lang w:val="es-AR" w:eastAsia="es-AR" w:bidi="es-AR"/>
        </w:rPr>
        <w:t xml:space="preserve">Lo decidido ha adquirido firmeza y no puede ser renovado mediante el presente incidente, pues operan sobre ello los efectos de la preclusión, en resguardo del principio de seguridad jurídica que se manifiesta a través de la estabilidad de los actos procesales.</w:t>
      </w:r>
    </w:p>
    <w:p>
      <w:pPr>
        <w:pStyle w:val="[Normal]"/>
        <w:spacing w:line="360" w:lineRule="auto"/>
        <w:ind w:firstLine="1134"/>
        <w:jc w:val="both"/>
        <w:rPr>
          <w:lang w:val="es-AR" w:eastAsia="es-AR" w:bidi="es-AR"/>
        </w:rPr>
      </w:pPr>
      <w:r>
        <w:rPr>
          <w:lang w:val="es-AR" w:eastAsia="es-AR" w:bidi="es-AR"/>
        </w:rPr>
        <w:t xml:space="preserve">Sabido es que en todo proceso judicial debe tenerse presente  que rige el principio de preclusión por el cual una facultad que no es ejercida en tiempo y forma se pierde, pues opera un claro impedimento o una imposibilidad: la facultad procesal no utilizada, se extingue, impidiendo que se retroceda a etapas procesales agotadas. Al respecto se ha dicho que "</w:t>
      </w:r>
      <w:r>
        <w:rPr>
          <w:i/>
          <w:lang w:val="es-AR" w:eastAsia="es-AR" w:bidi="es-AR"/>
        </w:rPr>
        <w:t xml:space="preserve">...no ejercida una facultad en tiempo y forma, la  misma  se  pierde  por cuanto la preclusión opera como un impedimento o una imposibilidad: la facultad procesal no utilizada, se extingue</w:t>
      </w:r>
      <w:r>
        <w:rPr>
          <w:lang w:val="es-AR" w:eastAsia="es-AR" w:bidi="es-AR"/>
        </w:rPr>
        <w:t xml:space="preserve">" (confr. SCBA, Ac.75777 del 13/6/2001. entre otros). </w:t>
      </w:r>
    </w:p>
    <w:p>
      <w:pPr>
        <w:pStyle w:val="[Normal]"/>
        <w:spacing w:line="360" w:lineRule="auto"/>
        <w:ind w:firstLine="1134"/>
        <w:jc w:val="both"/>
        <w:rPr>
          <w:lang w:val="es-AR" w:eastAsia="es-AR" w:bidi="es-AR"/>
        </w:rPr>
      </w:pPr>
      <w:r>
        <w:rPr>
          <w:lang w:val="es-AR" w:eastAsia="es-AR" w:bidi="es-AR"/>
        </w:rPr>
        <w:t xml:space="preserve">En ese marco, la falta de impugnación oportuna de la sentencia -en cuanto fijó las pautas de cuantificación del crédito- impide su ulterior revisión en esta etapa, no pudiendo la parte reabrir cuestiones que han quedado definitivamente consolidadas en el trámite. Admitir lo contrario importaría desnaturalizar el régimen procesal aplicable, habilitando la revisión indefinida del litigio.</w:t>
      </w:r>
    </w:p>
    <w:p>
      <w:pPr>
        <w:pStyle w:val="[Normal]"/>
        <w:spacing w:line="360" w:lineRule="auto"/>
        <w:ind w:firstLine="1134"/>
        <w:jc w:val="both"/>
        <w:rPr>
          <w:lang w:val="es-AR" w:eastAsia="es-AR" w:bidi="es-AR"/>
        </w:rPr>
      </w:pPr>
      <w:r>
        <w:rPr>
          <w:lang w:val="es-AR" w:eastAsia="es-AR" w:bidi="es-AR"/>
        </w:rPr>
        <w:t xml:space="preserve">Asimismo, el intento de reconducir el planteo bajo la invocación de institutos como la abusividad, la imprevisión o el control de razonabilidad no altera la verdadera naturaleza del planteo, que no es otra que la de una impugnación extemporánea encubierta, dirigida a modificar los parámetros de cuantificación del crédito ya fijados.</w:t>
      </w:r>
    </w:p>
    <w:p>
      <w:pPr>
        <w:pStyle w:val="[Normal]"/>
        <w:spacing w:line="360" w:lineRule="auto"/>
        <w:ind w:firstLine="1134"/>
        <w:jc w:val="both"/>
        <w:rPr>
          <w:lang w:val="es-AR" w:eastAsia="es-AR" w:bidi="es-AR"/>
        </w:rPr>
      </w:pPr>
      <w:r>
        <w:rPr>
          <w:lang w:val="es-AR" w:eastAsia="es-AR" w:bidi="es-AR"/>
        </w:rPr>
        <w:t xml:space="preserve">Resultando de consideración señalar que la invocación del carácter de orden público de la normativa consumeril no altera la solución que se propicia, en tanto las facultades de control judicial en la materia no suprimen las reglas procesales ni autorizan a reabrir sin límite temporal cuestiones ya consentidas.</w:t>
      </w:r>
    </w:p>
    <w:p>
      <w:pPr>
        <w:pStyle w:val="[Normal]"/>
        <w:spacing w:line="360" w:lineRule="auto"/>
        <w:ind w:firstLine="1134"/>
        <w:jc w:val="both"/>
        <w:rPr>
          <w:lang w:val="es-AR" w:eastAsia="es-AR" w:bidi="es-AR"/>
        </w:rPr>
      </w:pPr>
      <w:r>
        <w:rPr>
          <w:lang w:val="es-AR" w:eastAsia="es-AR" w:bidi="es-AR"/>
        </w:rPr>
        <w:t xml:space="preserve">Por todo lo expuesto, propongo al Acuerdo rechazar el recurso deducido y confirmar el fallo apelado.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y confirmar el fallo apelado por los fundamentos expuestos.</w:t>
      </w:r>
    </w:p>
    <w:p>
      <w:pPr>
        <w:pStyle w:val="[Normal]"/>
        <w:spacing w:line="360" w:lineRule="auto"/>
        <w:ind w:firstLine="1134"/>
        <w:jc w:val="both"/>
        <w:rPr>
          <w:lang w:val="es-AR" w:eastAsia="es-AR" w:bidi="es-AR"/>
        </w:rPr>
      </w:pPr>
      <w:r>
        <w:rPr>
          <w:lang w:val="es-AR" w:eastAsia="es-AR" w:bidi="es-AR"/>
        </w:rPr>
        <w:t xml:space="preserve">Sin costas atento la ausencia de contradicción (art. 68/9 CPCC). </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y confirmar el fallo apelado por los fundamentos expuestos.</w:t>
      </w:r>
    </w:p>
    <w:p>
      <w:pPr>
        <w:pStyle w:val="[Normal]"/>
        <w:spacing w:line="360" w:lineRule="auto"/>
        <w:ind w:firstLine="1134"/>
        <w:jc w:val="both"/>
        <w:rPr>
          <w:lang w:val="es-AR" w:eastAsia="es-AR" w:bidi="es-AR"/>
        </w:rPr>
      </w:pPr>
      <w:r>
        <w:rPr>
          <w:lang w:val="es-AR" w:eastAsia="es-AR" w:bidi="es-AR"/>
        </w:rPr>
        <w:t xml:space="preserve">Sin costas atento la ausencia de contradicción (art. 68/9 CPCC). </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27351987915@NOTIFICACIONES.SCBA.GOV.AR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10:12:35 -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11:00:39 -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11:01:26 -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‰9L")è&amp;wyqpŠ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254402090006878981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07/05/2026 11:02:38 hs. bajo el número RS-76-2026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