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ind w:firstLine="1134"/>
        <w:jc w:val="both"/>
        <w:rPr>
          <w:lang w:val="es-AR" w:eastAsia="es-AR" w:bidi="es-AR"/>
        </w:rPr>
      </w:pPr>
      <w:r>
        <w:rPr>
          <w:lang w:val="es-AR" w:eastAsia="es-AR" w:bidi="es-AR"/>
        </w:rPr>
        <w:t xml:space="preserve"> En la ciudad de Pergamino, reunidos en Acuerdo Ordinario los Sres. Jueces de la Cámara de Apelación en lo Civil y Comercial del Departamento Judicial Pergamino, para dictar sentencia en la causa N° </w:t>
      </w:r>
      <w:r>
        <w:rPr>
          <w:b/>
          <w:color w:val="000000"/>
          <w:lang w:val="es-AR" w:eastAsia="es-AR" w:bidi="es-AR"/>
        </w:rPr>
        <w:t xml:space="preserve">5941-25</w:t>
      </w:r>
      <w:r>
        <w:rPr>
          <w:lang w:val="es-AR" w:eastAsia="es-AR" w:bidi="es-AR"/>
        </w:rPr>
        <w:t xml:space="preserve"> caratulada </w:t>
      </w:r>
      <w:r>
        <w:rPr>
          <w:b/>
          <w:lang w:val="es-AR" w:eastAsia="es-AR" w:bidi="es-AR"/>
        </w:rPr>
        <w:t xml:space="preserve">"</w:t>
      </w:r>
      <w:r>
        <w:rPr>
          <w:b/>
          <w:color w:val="000000"/>
          <w:lang w:val="es-AR" w:eastAsia="es-AR" w:bidi="es-AR"/>
        </w:rPr>
        <w:t xml:space="preserve">UGARTE ROBERTO OMAR Y OTROS   C/ SUCESORES DE UGARTE JOSE MARIA S/ PETICION DE HERENCIA</w:t>
      </w:r>
      <w:r>
        <w:rPr>
          <w:b/>
          <w:lang w:val="es-AR" w:eastAsia="es-AR" w:bidi="es-AR"/>
        </w:rPr>
        <w:t xml:space="preserve">"</w:t>
      </w:r>
      <w:r>
        <w:rPr>
          <w:lang w:val="es-AR" w:eastAsia="es-AR" w:bidi="es-AR"/>
        </w:rPr>
        <w:t xml:space="preserve">, Expte. </w:t>
      </w:r>
      <w:r>
        <w:rPr>
          <w:color w:val="000000"/>
          <w:lang w:val="es-AR" w:eastAsia="es-AR" w:bidi="es-AR"/>
        </w:rPr>
        <w:t xml:space="preserve">79.724 </w:t>
      </w:r>
      <w:r>
        <w:rPr>
          <w:lang w:val="es-AR" w:eastAsia="es-AR" w:bidi="es-AR"/>
        </w:rPr>
        <w:t xml:space="preserve">del </w:t>
      </w:r>
      <w:r>
        <w:rPr>
          <w:color w:val="000000"/>
          <w:lang w:val="es-AR" w:eastAsia="es-AR" w:bidi="es-AR"/>
        </w:rPr>
        <w:t xml:space="preserve">Juzgado en lo Civil Y Comercial Nº 2 Pergamino</w:t>
      </w:r>
      <w:r>
        <w:rPr>
          <w:lang w:val="es-AR" w:eastAsia="es-AR" w:bidi="es-AR"/>
        </w:rPr>
        <w:t xml:space="preserve">, se practicó el sorteo de ley que determinó que la votación debía efectuarse en el siguiente orden:  </w:t>
      </w:r>
      <w:r>
        <w:rPr>
          <w:color w:val="000000"/>
          <w:lang w:val="es-AR" w:eastAsia="es-AR" w:bidi="es-AR"/>
        </w:rPr>
        <w:t xml:space="preserve">Roberto Manuel Degleue y  Graciela Hilda Scaraffia</w:t>
      </w:r>
      <w:r>
        <w:rPr>
          <w:lang w:val="es-AR" w:eastAsia="es-AR" w:bidi="es-AR"/>
        </w:rPr>
        <w:t xml:space="preserve">, y estudiados los autos se resolvió plantear y votar las siguientes: </w:t>
      </w:r>
    </w:p>
    <w:p>
      <w:pPr>
        <w:pStyle w:val="[Normal]"/>
        <w:spacing w:line="360" w:lineRule="auto"/>
        <w:ind w:firstLine="1134"/>
        <w:jc w:val="both"/>
        <w:rPr>
          <w:lang w:val="es-AR" w:eastAsia="es-AR" w:bidi="es-AR"/>
        </w:rPr>
      </w:pPr>
      <w:r>
        <w:rPr>
          <w:b/>
          <w:lang w:val="es-AR" w:eastAsia="es-AR" w:bidi="es-AR"/>
        </w:rPr>
        <w:t xml:space="preserve">C U E S T I O N E S</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el señor Juez </w:t>
      </w:r>
      <w:r>
        <w:rPr>
          <w:color w:val="000000"/>
          <w:lang w:val="es-AR" w:eastAsia="es-AR" w:bidi="es-AR"/>
        </w:rPr>
        <w:t xml:space="preserve">Roberto Manuel Degleue</w:t>
      </w:r>
      <w:r>
        <w:rPr>
          <w:lang w:val="es-AR" w:eastAsia="es-AR" w:bidi="es-AR"/>
        </w:rPr>
        <w:t xml:space="preserve"> dijo:</w:t>
      </w:r>
    </w:p>
    <w:p>
      <w:pPr>
        <w:pStyle w:val="[Normal]"/>
        <w:spacing w:line="360" w:lineRule="auto"/>
        <w:ind w:firstLine="1134"/>
        <w:jc w:val="both"/>
        <w:rPr>
          <w:lang w:val="es-AR" w:eastAsia="es-AR" w:bidi="es-AR"/>
        </w:rPr>
      </w:pPr>
      <w:r>
        <w:rPr>
          <w:lang w:val="es-AR" w:eastAsia="es-AR" w:bidi="es-AR"/>
        </w:rPr>
        <w:t xml:space="preserve">La señora Jueza de primera instancia resolvió rechazar la acción de petición de herencia e hizo lugar parcialmente al reclamo bajo la figura de acción de partición, condenando a los sucesores del demandado José María Ugarte a abonar el valor equivalente a 0,35 hectáreas del inmueble denominado "Estancia Los Angeles". Asimismo rechazó el reclamo indemnizatorio impetrado por la parte actora. Impuso las costas en el orden causado y difirió la regulación de honorarios de los letrados intervinientes, hasta que obren pautas al efecto.</w:t>
      </w:r>
    </w:p>
    <w:p>
      <w:pPr>
        <w:pStyle w:val="[Normal]"/>
        <w:spacing w:line="360" w:lineRule="auto"/>
        <w:ind w:firstLine="1134"/>
        <w:jc w:val="both"/>
        <w:rPr>
          <w:lang w:val="es-AR" w:eastAsia="es-AR" w:bidi="es-AR"/>
        </w:rPr>
      </w:pPr>
      <w:r>
        <w:rPr>
          <w:lang w:val="es-AR" w:eastAsia="es-AR" w:bidi="es-AR"/>
        </w:rPr>
        <w:t xml:space="preserve">Tal decisorio fue objeto de los recursos de apelación interpuestos por la parte actora el 1-12-2025 y por la demandada el 3-12-2025, concedidos ambos libremente y en ambos efectos el 2-12-2025 y el 3-12-2025, respectivamente.  </w:t>
      </w:r>
    </w:p>
    <w:p>
      <w:pPr>
        <w:pStyle w:val="[Normal]"/>
        <w:spacing w:line="360" w:lineRule="auto"/>
        <w:ind w:firstLine="1134"/>
        <w:jc w:val="both"/>
        <w:rPr>
          <w:lang w:val="es-AR" w:eastAsia="es-AR" w:bidi="es-AR"/>
        </w:rPr>
      </w:pPr>
      <w:r>
        <w:rPr>
          <w:lang w:val="es-AR" w:eastAsia="es-AR" w:bidi="es-AR"/>
        </w:rPr>
        <w:t xml:space="preserve">Elevados los autos a esta Alzada en fecha 10-12-2025 se ordenó expresar agravios a la parte actora, quien los fundó el 16-12-2025. El día 18-12-2025 se ordenó expresar agravios a la parte demandada, quien los fundó el 21-1-2026. Con fecha 5-2-2026 se ordenaron los traslados recíprocos. Siendo contestados por la demandada en fecha 19-2-2026 y por la actora el 24-2-2026. Se llamó autos para dictar sentencia el 26-2-2026, providencia que, firme a la fecha deja la causa en condiciones de ser fallada.</w:t>
      </w:r>
    </w:p>
    <w:p>
      <w:pPr>
        <w:pStyle w:val="[Normal]"/>
        <w:spacing w:line="360" w:lineRule="auto"/>
        <w:ind w:firstLine="1134"/>
        <w:jc w:val="both"/>
        <w:rPr>
          <w:lang w:val="es-AR" w:eastAsia="es-AR" w:bidi="es-AR"/>
        </w:rPr>
      </w:pPr>
      <w:r>
        <w:rPr>
          <w:lang w:val="es-AR" w:eastAsia="es-AR" w:bidi="es-AR"/>
        </w:rPr>
        <w:t xml:space="preserve">1) Agravios de la parte actora:</w:t>
      </w:r>
    </w:p>
    <w:p>
      <w:pPr>
        <w:pStyle w:val="[Normal]"/>
        <w:spacing w:line="360" w:lineRule="auto"/>
        <w:ind w:firstLine="1134"/>
        <w:jc w:val="both"/>
        <w:rPr>
          <w:lang w:val="es-AR" w:eastAsia="es-AR" w:bidi="es-AR"/>
        </w:rPr>
      </w:pPr>
      <w:r>
        <w:rPr>
          <w:lang w:val="es-AR" w:eastAsia="es-AR" w:bidi="es-AR"/>
        </w:rPr>
        <w:t xml:space="preserve"> En primer lugar cuestiona la conclusión relativa a la buena fe del demandado. Afirma que la magistrada de la instancia anterior ha efectuado una errónea valoración de los hechos al considerar que no existió mala fe del accionado. Expresan que tenían pleno conocimiento de su vocación hereditaria respecto de su padre y abuelos pero alegan que ignoraban la existencia del proceso sucesorio de sus abuelos. Denuncian que la parte contraria sí se encontraba en conocimiento de esa situación, dado el vínculo familiar que los unía y el hecho de haber celebrado un contrato de arrendamiento sobre la porción que correspondía a los actores. En ese contexto afirman que el demandado aprovechó deliberadamente la falta de presentación en el sucesorio para adquirir la totalidad del bien, conducta que califica como maliciosa.</w:t>
      </w:r>
    </w:p>
    <w:p>
      <w:pPr>
        <w:pStyle w:val="[Normal]"/>
        <w:spacing w:line="360" w:lineRule="auto"/>
        <w:ind w:firstLine="1134"/>
        <w:jc w:val="both"/>
        <w:rPr>
          <w:lang w:val="es-AR" w:eastAsia="es-AR" w:bidi="es-AR"/>
        </w:rPr>
      </w:pPr>
      <w:r>
        <w:rPr>
          <w:lang w:val="es-AR" w:eastAsia="es-AR" w:bidi="es-AR"/>
        </w:rPr>
        <w:t xml:space="preserve">En segundo término critican el alcance de la restitución fijada en la sentencia. Señalan que resulta incorrecto limitar la condena al valor de 22/4800 avas partes. Explican que las operaciones de compra invocadas por el demandado se realizaron con anterioridad al inicio del proceso sucesorio lo que demuestra que nunca pudo haber abonado la porción correspondiente a los actores. Reiteran que  la celebración del contrato de arrendamiento demuestra que el Sr. Ugarte tenia pleno conocimiento del derecho de los quejosos. A partir de ello concluyen que la restitución debió comprender la totalidad reclamada por demanda es decir: 2 hectareas,100 centiáreas (2,100 ha).</w:t>
      </w:r>
    </w:p>
    <w:p>
      <w:pPr>
        <w:pStyle w:val="[Normal]"/>
        <w:spacing w:line="360" w:lineRule="auto"/>
        <w:ind w:firstLine="1134"/>
        <w:jc w:val="both"/>
        <w:rPr>
          <w:lang w:val="es-AR" w:eastAsia="es-AR" w:bidi="es-AR"/>
        </w:rPr>
      </w:pPr>
      <w:r>
        <w:rPr>
          <w:lang w:val="es-AR" w:eastAsia="es-AR" w:bidi="es-AR"/>
        </w:rPr>
        <w:t xml:space="preserve">Como tercer agravio se duelen por el rechazo establecido en la sentencia en crisis respecto al reclamo indemnizatorio ensayado. Entienden que acreditada la mala fe de la contraria corresponde reconocer los frutos dejados de percibir por los periodos comprendidos entre el año 2014 y 2015 por sobre la porción del predio que por derecho le corresponde. Subsidiariamente sostienen que aun en la hipótesis de la solución adoptada, debió reconocerse una compensación por el uso de la parte cuya restitución fue admitida. Reclaman se haga lugar al pedido por los daños y perjuicios ocasionados por la falta de disposición de la porción reclamada.</w:t>
      </w:r>
    </w:p>
    <w:p>
      <w:pPr>
        <w:pStyle w:val="[Normal]"/>
        <w:spacing w:line="360" w:lineRule="auto"/>
        <w:ind w:firstLine="1134"/>
        <w:jc w:val="both"/>
        <w:rPr>
          <w:lang w:val="es-AR" w:eastAsia="es-AR" w:bidi="es-AR"/>
        </w:rPr>
      </w:pPr>
      <w:r>
        <w:rPr>
          <w:lang w:val="es-AR" w:eastAsia="es-AR" w:bidi="es-AR"/>
        </w:rPr>
        <w:t xml:space="preserve">Por otro lado cuestionan la valoración de la prueba testimonial. Señalan que los testimonios incorporados al proceso contradicen la conclusión de la sentencia, en tanto dan cuenta de que el demandado no adquirió la totalidad de las partes indivisas y que continuó reconociendo derechos en cabeza de los actores.</w:t>
      </w:r>
    </w:p>
    <w:p>
      <w:pPr>
        <w:pStyle w:val="[Normal]"/>
        <w:spacing w:line="360" w:lineRule="auto"/>
        <w:ind w:firstLine="1134"/>
        <w:jc w:val="both"/>
        <w:rPr>
          <w:lang w:val="es-AR" w:eastAsia="es-AR" w:bidi="es-AR"/>
        </w:rPr>
      </w:pPr>
      <w:r>
        <w:rPr>
          <w:lang w:val="es-AR" w:eastAsia="es-AR" w:bidi="es-AR"/>
        </w:rPr>
        <w:t xml:space="preserve">Finalmente se agravian por la imposición de costas en el orden causado. Sostienen que fue el demandado quien obligó a iniciar el proceso y que, en consecuencia, debió ser condenado en costas como parte vencida.</w:t>
      </w:r>
    </w:p>
    <w:p>
      <w:pPr>
        <w:pStyle w:val="[Normal]"/>
        <w:spacing w:line="360" w:lineRule="auto"/>
        <w:ind w:firstLine="1134"/>
        <w:jc w:val="both"/>
        <w:rPr>
          <w:lang w:val="es-AR" w:eastAsia="es-AR" w:bidi="es-AR"/>
        </w:rPr>
      </w:pPr>
      <w:r>
        <w:rPr>
          <w:lang w:val="es-AR" w:eastAsia="es-AR" w:bidi="es-AR"/>
        </w:rPr>
        <w:t xml:space="preserve">2) Agravios parte demandada: Centra su crítica en dos aspectos principales.</w:t>
      </w:r>
    </w:p>
    <w:p>
      <w:pPr>
        <w:pStyle w:val="[Normal]"/>
        <w:spacing w:line="360" w:lineRule="auto"/>
        <w:ind w:firstLine="1134"/>
        <w:jc w:val="both"/>
        <w:rPr>
          <w:lang w:val="es-AR" w:eastAsia="es-AR" w:bidi="es-AR"/>
        </w:rPr>
      </w:pPr>
      <w:r>
        <w:rPr>
          <w:lang w:val="es-AR" w:eastAsia="es-AR" w:bidi="es-AR"/>
        </w:rPr>
        <w:t xml:space="preserve">En primer lugar manifiesta que la sentencia vulnera el principio de congruencia. Afirma que la actora promovió una acción de petición de herencia y que el fallo modificó sustancialmente el objeto al encuadrarlo como una acción de partición. Considera que ello implica decidir sobre una cuestión distinta a la planteada lo que afecta su derecho de defensa. Señala que la facultad judicial de aplicar el derecho no autoriza a alterar el objeto del proceso ni la causa de pedir, y que la variación introducida generó una situación de indefensión.</w:t>
      </w:r>
    </w:p>
    <w:p>
      <w:pPr>
        <w:pStyle w:val="[Normal]"/>
        <w:spacing w:line="360" w:lineRule="auto"/>
        <w:ind w:firstLine="1134"/>
        <w:jc w:val="both"/>
        <w:rPr>
          <w:lang w:val="es-AR" w:eastAsia="es-AR" w:bidi="es-AR"/>
        </w:rPr>
      </w:pPr>
      <w:r>
        <w:rPr>
          <w:lang w:val="es-AR" w:eastAsia="es-AR" w:bidi="es-AR"/>
        </w:rPr>
        <w:t xml:space="preserve">En segundo término cuestiona la imposición de costas. Sostiene que la actora resulta sustancialmente vencida en el proceso, ya que se rechazó la acción principal y sólo se admitió una porción mínima del reclamo. Agrega que su parte se allanó oportunamente al reconocimiento de la proporción que correspondía a los actores, lo que a su entender encuadra en el supuesto previsto por el art. 70 del CPCCBA. Añade que el allanamiento fue oportuno y eficaz, y que la necesidad del presente proceso se originó en el incorrecto planteo de la demanda. Con base en ello solicita que las costas sean impuestas a la actora o, subsidiariamente, se mantengan por su orden.</w:t>
      </w:r>
    </w:p>
    <w:p>
      <w:pPr>
        <w:pStyle w:val="[Normal]"/>
        <w:spacing w:line="360" w:lineRule="auto"/>
        <w:ind w:firstLine="1134"/>
        <w:jc w:val="both"/>
        <w:rPr>
          <w:lang w:val="es-AR" w:eastAsia="es-AR" w:bidi="es-AR"/>
        </w:rPr>
      </w:pPr>
      <w:r>
        <w:rPr>
          <w:lang w:val="es-AR" w:eastAsia="es-AR" w:bidi="es-AR"/>
        </w:rPr>
        <w:t xml:space="preserve">Ya en tarea de resolver entiendo necesario alterar el orden los agravios descriptos precedentemente por razones de relevancia jurídica y de orden metodológico, por ello considero que se debe dar principal tratamiento al planteo de incongruencia introducido por la demandada. </w:t>
      </w:r>
    </w:p>
    <w:p>
      <w:pPr>
        <w:pStyle w:val="[Normal]"/>
        <w:spacing w:line="360" w:lineRule="auto"/>
        <w:ind w:firstLine="1134"/>
        <w:jc w:val="both"/>
        <w:rPr>
          <w:lang w:val="es-AR" w:eastAsia="es-AR" w:bidi="es-AR"/>
        </w:rPr>
      </w:pPr>
      <w:r>
        <w:rPr>
          <w:lang w:val="es-AR" w:eastAsia="es-AR" w:bidi="es-AR"/>
        </w:rPr>
        <w:t xml:space="preserve">Sentado ello, corresponde señalar que la cuestión debe analizarse a la luz de los términos en que quedó trabada la litis y del contenido de la pretensión.</w:t>
      </w:r>
    </w:p>
    <w:p>
      <w:pPr>
        <w:pStyle w:val="[Normal]"/>
        <w:spacing w:line="360" w:lineRule="auto"/>
        <w:ind w:firstLine="1134"/>
        <w:jc w:val="both"/>
        <w:rPr>
          <w:lang w:val="es-AR" w:eastAsia="es-AR" w:bidi="es-AR"/>
        </w:rPr>
      </w:pPr>
      <w:r>
        <w:rPr>
          <w:lang w:val="es-AR" w:eastAsia="es-AR" w:bidi="es-AR"/>
        </w:rPr>
        <w:t xml:space="preserve">Del análisis de la demanda y su contestación surge que los actores reclamaron el reconocimiento de su derecho sobre una porción del bien integrante de la herencia y la restitución de esa parte (fs. 23/27). Asimismo, el demandado, si bien rechaza el planteo actoral, expresó su conformidad en devolver el valor de la parte que recibió en exceso como heredero, en razón de que los accionantes fueron reconocidos como tales en los autos "Ugarte Videgain Lino y Feyre Mercedes Engracia s/ Sucesión Ab Intestato" Expte. 42.234. A su vez, remarcó que el remanente debía ser reclamado a los demás herederos (fs. 49/53).</w:t>
      </w:r>
    </w:p>
    <w:p>
      <w:pPr>
        <w:pStyle w:val="[Normal]"/>
        <w:spacing w:line="360" w:lineRule="auto"/>
        <w:ind w:firstLine="1134"/>
        <w:jc w:val="both"/>
        <w:rPr>
          <w:lang w:val="es-AR" w:eastAsia="es-AR" w:bidi="es-AR"/>
        </w:rPr>
      </w:pPr>
      <w:r>
        <w:rPr>
          <w:lang w:val="es-AR" w:eastAsia="es-AR" w:bidi="es-AR"/>
        </w:rPr>
        <w:t xml:space="preserve">En referencia a ello, entiendo que el núcleo fáctico y material en el cual la parte actora reclama una porción del objeto del pleito, así como el allanamiento parcial formulado por el demandado, se mantuvieron inalterados y sin cuestionamientos a lo largo de todo el proceso.</w:t>
      </w:r>
    </w:p>
    <w:p>
      <w:pPr>
        <w:pStyle w:val="[Normal]"/>
        <w:spacing w:line="360" w:lineRule="auto"/>
        <w:ind w:firstLine="1134"/>
        <w:jc w:val="both"/>
        <w:rPr>
          <w:lang w:val="es-AR" w:eastAsia="es-AR" w:bidi="es-AR"/>
        </w:rPr>
      </w:pPr>
      <w:r>
        <w:rPr>
          <w:lang w:val="es-AR" w:eastAsia="es-AR" w:bidi="es-AR"/>
        </w:rPr>
        <w:t xml:space="preserve">Por consiguiente, coincido con el criterio sustentado por la magistrada de grado en cuanto considera que el encuadre jurídico adecuado de la cuestión debatida se corresponde con una acción de partición, lo que desplaza la viabilidad de la acción de petición de herencia. Ello es así en virtud de que, conforme surge de las constancias de autos, la calidad de herederos invocada por la parte actora no ha sido controvertida ni puesta en tela de juicio por la parte contraria, circunstancia que torna improcedente la vía intentada por los accionantes y justifica la calificación jurídica adoptada en la instancia de origen.</w:t>
      </w:r>
    </w:p>
    <w:p>
      <w:pPr>
        <w:pStyle w:val="[Normal]"/>
        <w:spacing w:line="360" w:lineRule="auto"/>
        <w:ind w:firstLine="1134"/>
        <w:jc w:val="both"/>
        <w:rPr>
          <w:lang w:val="es-AR" w:eastAsia="es-AR" w:bidi="es-AR"/>
        </w:rPr>
      </w:pPr>
      <w:r>
        <w:rPr>
          <w:lang w:val="es-AR" w:eastAsia="es-AR" w:bidi="es-AR"/>
        </w:rPr>
        <w:t xml:space="preserve">Nuestro cimero Tribunal ha dicho al respecto que "</w:t>
      </w:r>
      <w:r>
        <w:rPr>
          <w:i/>
          <w:lang w:val="es-AR" w:eastAsia="es-AR" w:bidi="es-AR"/>
        </w:rPr>
        <w:t xml:space="preserve">...es a los jueces a quienes corresponde calificar jurídicamente las circunstancias fácticas con independencia del derecho que hubieren invocado las partes, en tanto y en cuanto, no se alteren los hechos o se tergiverse la naturaleza de la acción deducida</w:t>
      </w:r>
      <w:r>
        <w:rPr>
          <w:lang w:val="es-AR" w:eastAsia="es-AR" w:bidi="es-AR"/>
        </w:rPr>
        <w:t xml:space="preserve">" (SCBA LP C 121352 S 21/11/2018 JUBA B28511)</w:t>
      </w:r>
    </w:p>
    <w:p>
      <w:pPr>
        <w:pStyle w:val="[Normal]"/>
        <w:spacing w:line="360" w:lineRule="auto"/>
        <w:ind w:firstLine="1134"/>
        <w:jc w:val="both"/>
        <w:rPr>
          <w:lang w:val="es-AR" w:eastAsia="es-AR" w:bidi="es-AR"/>
        </w:rPr>
      </w:pPr>
      <w:r>
        <w:rPr>
          <w:lang w:val="es-AR" w:eastAsia="es-AR" w:bidi="es-AR"/>
        </w:rPr>
        <w:t xml:space="preserve">En efecto, la función jurisdiccional no se circunscribe a una mera reproducción de la calificación jurídica propuesta por las partes en sus presentaciones. Por el contrario, impone al magistrado el deber de subsumir los hechos comprobados en la norma jurídica que estime aplicable, conforme al principio iura novit curia. En tal sentido, el juez no se encuentra atado por las construcciones jurídicas esgrimidas por los litigantes, sino que debe efectuar la correcta calificación legal de la cuestión sometida a su conocimiento a partir de la plataforma fáctica acreditada en el proceso.</w:t>
      </w:r>
    </w:p>
    <w:p>
      <w:pPr>
        <w:pStyle w:val="[Normal]"/>
        <w:spacing w:line="360" w:lineRule="auto"/>
        <w:ind w:firstLine="1134"/>
        <w:jc w:val="both"/>
        <w:rPr>
          <w:lang w:val="es-AR" w:eastAsia="es-AR" w:bidi="es-AR"/>
        </w:rPr>
      </w:pPr>
      <w:r>
        <w:rPr>
          <w:lang w:val="es-AR" w:eastAsia="es-AR" w:bidi="es-AR"/>
        </w:rPr>
        <w:t xml:space="preserve">En el caso bajo examen, la solución acogida en la instancia anterior no introduce un objeto litigioso novedoso ni altera los términos en que quedó trabada la litis. Aquella se limita a adecuar la respuesta jurisdiccional al encuadre jurídico que corresponde con el contexto objetivo planteado y confirmado por las propias partes litigantes.</w:t>
      </w:r>
    </w:p>
    <w:p>
      <w:pPr>
        <w:pStyle w:val="[Normal]"/>
        <w:spacing w:line="360" w:lineRule="auto"/>
        <w:ind w:firstLine="1134"/>
        <w:jc w:val="both"/>
        <w:rPr>
          <w:lang w:val="es-AR" w:eastAsia="es-AR" w:bidi="es-AR"/>
        </w:rPr>
      </w:pPr>
      <w:r>
        <w:rPr>
          <w:lang w:val="es-AR" w:eastAsia="es-AR" w:bidi="es-AR"/>
        </w:rPr>
        <w:t xml:space="preserve">Desde esta perspectiva, no se advierte que el criterio jurídico optado haya generado indefensión o desprotección jurídica alguna hacia la parte demandada. Ello así, en aquella parte ha contado con la oportunidad de ejercer plenamente su derecho de defensa en juicio respecto de los hechos constitutivos de la pretensión, los cuales permanecieron inalterados durante todo el proceso.</w:t>
      </w:r>
    </w:p>
    <w:p>
      <w:pPr>
        <w:pStyle w:val="[Normal]"/>
        <w:spacing w:line="360" w:lineRule="auto"/>
        <w:ind w:firstLine="1134"/>
        <w:jc w:val="both"/>
        <w:rPr>
          <w:lang w:val="es-AR" w:eastAsia="es-AR" w:bidi="es-AR"/>
        </w:rPr>
      </w:pPr>
      <w:r>
        <w:rPr>
          <w:lang w:val="es-AR" w:eastAsia="es-AR" w:bidi="es-AR"/>
        </w:rPr>
        <w:t xml:space="preserve">En consecuencia, no se configura vulneración alguna al principio de congruencia ni a las garantías del debido proceso. Por lo tanto comparto la decisión cuestionada por la a quo, ya que se mantiene dentro de los límites objetivos y subjetivos de la controversia y se limita a aplicar el derecho pertinente a los hechos que han sido materia de debate y prueba en autos.</w:t>
      </w:r>
    </w:p>
    <w:p>
      <w:pPr>
        <w:pStyle w:val="[Normal]"/>
        <w:spacing w:line="360" w:lineRule="auto"/>
        <w:ind w:firstLine="1134"/>
        <w:jc w:val="both"/>
        <w:rPr>
          <w:lang w:val="es-AR" w:eastAsia="es-AR" w:bidi="es-AR"/>
        </w:rPr>
      </w:pPr>
      <w:r>
        <w:rPr>
          <w:lang w:val="es-AR" w:eastAsia="es-AR" w:bidi="es-AR"/>
        </w:rPr>
        <w:t xml:space="preserve">A mayor abundamiento, nuestra jurisprudencia se ha expresado en coincidencia con lo precedentemente expuesto al manifestar que "...</w:t>
      </w:r>
      <w:r>
        <w:rPr>
          <w:i/>
          <w:lang w:val="es-AR" w:eastAsia="es-AR" w:bidi="es-AR"/>
        </w:rPr>
        <w:t xml:space="preserve">una vez planteados por las partes los hechos ante el juez, es facultad de éste efectuar el encuadre jurídico correspondiente a los fines de la correcta elucidación de la controversia, pudiendo no coincidir con el que viene propuesto desde la demanda o su contestación. Vale decir que si bien no puede apartarse -bajo riesgo de vulnerar los principios: dispositivo, de igualdad de las partes, del derecho de defensa en juicio y en definitiva del debido proceso- de la plataforma fáctica que quedara fijada con la traba de la litis, ello no empecé a la elección de la solución jurídica que el juez estime aplicable al caso a partir de los hechos alegados</w:t>
      </w:r>
      <w:r>
        <w:rPr>
          <w:lang w:val="es-AR" w:eastAsia="es-AR" w:bidi="es-AR"/>
        </w:rPr>
        <w:t xml:space="preserve">" (CC0202 LP 131113 RSD 38/22 S 22/03/2022 JUBA B5079904). </w:t>
      </w:r>
    </w:p>
    <w:p>
      <w:pPr>
        <w:pStyle w:val="[Normal]"/>
        <w:spacing w:line="360" w:lineRule="auto"/>
        <w:ind w:firstLine="1134"/>
        <w:jc w:val="both"/>
        <w:rPr>
          <w:lang w:val="es-AR" w:eastAsia="es-AR" w:bidi="es-AR"/>
        </w:rPr>
      </w:pPr>
      <w:r>
        <w:rPr>
          <w:lang w:val="es-AR" w:eastAsia="es-AR" w:bidi="es-AR"/>
        </w:rPr>
        <w:t xml:space="preserve">Dicho aquello corresponde entonces dar tratamiento a los agravios desplegados por la parte actora, conforme el orden que fueron descriptos oportunamente.</w:t>
      </w:r>
    </w:p>
    <w:p>
      <w:pPr>
        <w:pStyle w:val="[Normal]"/>
        <w:spacing w:line="360" w:lineRule="auto"/>
        <w:ind w:firstLine="1134"/>
        <w:jc w:val="both"/>
        <w:rPr>
          <w:lang w:val="es-AR" w:eastAsia="es-AR" w:bidi="es-AR"/>
        </w:rPr>
      </w:pPr>
      <w:r>
        <w:rPr>
          <w:lang w:val="es-AR" w:eastAsia="es-AR" w:bidi="es-AR"/>
        </w:rPr>
        <w:t xml:space="preserve">En primer término, y en lo relativo a la mala fe que los actores endilgan al demandado con motivo de la adquisición de partes indivisas a los restantes coherederos sin haberlos considerado. Al respecto debo anticipar que dicha crítica no puede recibir favorable acogida.</w:t>
      </w:r>
    </w:p>
    <w:p>
      <w:pPr>
        <w:pStyle w:val="[Normal]"/>
        <w:spacing w:line="360" w:lineRule="auto"/>
        <w:ind w:firstLine="1134"/>
        <w:jc w:val="both"/>
        <w:rPr>
          <w:lang w:val="es-AR" w:eastAsia="es-AR" w:bidi="es-AR"/>
        </w:rPr>
      </w:pPr>
      <w:r>
        <w:rPr>
          <w:lang w:val="es-AR" w:eastAsia="es-AR" w:bidi="es-AR"/>
        </w:rPr>
        <w:t xml:space="preserve"> En efecto, la presunción de buena fe que rige en la materia únicamente puede ser desvirtuada mediante la producción de prueba concluyente, clara y categórica en sentido contrario. </w:t>
      </w:r>
    </w:p>
    <w:p>
      <w:pPr>
        <w:pStyle w:val="[Normal]"/>
        <w:spacing w:line="360" w:lineRule="auto"/>
        <w:ind w:firstLine="1134"/>
        <w:jc w:val="both"/>
        <w:rPr>
          <w:lang w:val="es-AR" w:eastAsia="es-AR" w:bidi="es-AR"/>
        </w:rPr>
      </w:pPr>
      <w:r>
        <w:rPr>
          <w:lang w:val="es-AR" w:eastAsia="es-AR" w:bidi="es-AR"/>
        </w:rPr>
        <w:t xml:space="preserve">En el caso de marras, no se ha logrado acreditar que el demandado tuviera conocimiento de que los actores ignoraban su llamamiento a la herencia.  Ya que la conducta desplegada por los propios accionantes permite inferir lo contrario en tanto celebraron un contrato de arrendamiento con el propio demandado cuya fecha es anterior a la presentación en la sucesión de sus abuelos/suegros (ver contrato de arrendamiento agregado a fs.18/19). Dicha circunstancia evidencia que tenían conocimiento de su vocación hereditaria con anterioridad a su presentación aquel proceso sucesorio.</w:t>
      </w:r>
    </w:p>
    <w:p>
      <w:pPr>
        <w:pStyle w:val="[Normal]"/>
        <w:spacing w:line="360" w:lineRule="auto"/>
        <w:ind w:firstLine="1134"/>
        <w:jc w:val="both"/>
        <w:rPr>
          <w:lang w:val="es-AR" w:eastAsia="es-AR" w:bidi="es-AR"/>
        </w:rPr>
      </w:pPr>
      <w:r>
        <w:rPr>
          <w:lang w:val="es-AR" w:eastAsia="es-AR" w:bidi="es-AR"/>
        </w:rPr>
        <w:t xml:space="preserve"> Por tanto este extremo reviste particular relevancia, pues la normativa aplicable (art. 3428 del C.C.)  exige para la configuración de la mala fe del heredero aparente, no solo el conocimiento de la existencia de herederos con mejor derecho, sino también la conciencia de que éstos ignoran su llamamiento. La ausencia de este último requisito impide tener por configurado el obrar de mala fe que se le pretende atribuir al accionado.</w:t>
      </w:r>
    </w:p>
    <w:p>
      <w:pPr>
        <w:pStyle w:val="[Normal]"/>
        <w:spacing w:line="360" w:lineRule="auto"/>
        <w:ind w:firstLine="1134"/>
        <w:jc w:val="both"/>
        <w:rPr>
          <w:lang w:val="es-AR" w:eastAsia="es-AR" w:bidi="es-AR"/>
        </w:rPr>
      </w:pPr>
      <w:r>
        <w:rPr>
          <w:lang w:val="es-AR" w:eastAsia="es-AR" w:bidi="es-AR"/>
        </w:rPr>
        <w:t xml:space="preserve">Ahora bien, en lo relativo al queja entablada sobre la restitución ordenada en la sentencia en crisis debiendo abonar la parte demandada 0.35 has, debo advertir la suerte negativa de tal planeo.</w:t>
      </w:r>
    </w:p>
    <w:p>
      <w:pPr>
        <w:pStyle w:val="[Normal]"/>
        <w:spacing w:line="360" w:lineRule="auto"/>
        <w:ind w:firstLine="1134"/>
        <w:jc w:val="both"/>
        <w:rPr>
          <w:lang w:val="es-AR" w:eastAsia="es-AR" w:bidi="es-AR"/>
        </w:rPr>
      </w:pPr>
      <w:r>
        <w:rPr>
          <w:lang w:val="es-AR" w:eastAsia="es-AR" w:bidi="es-AR"/>
        </w:rPr>
        <w:t xml:space="preserve">Y es que cabe destacar que la solución adoptada en la instancia de grado no se ve alterada por las circunstancias señaladas por la parte actora en torno al momento en que el demandado efectuó las adquisiciones de la partes indivisas. Aun cuando tales operaciones se hubieran concretado con anterioridad al inicio del proceso sucesorio, ello no modifica el encuadre jurídico realizado ni incide en la conclusión alcanzada, pues el eje de la cuestión no reside en determinar si el demandado abonó o no la porción correspondiente a los actores al adquirir las cuotas hereditarias, sino en establecer, con precisión, el alcance de la obligación de restituir que le corresponde en función del doble carácter en que intervino, esto es, como coheredero y como adquirente de partes indivisas.</w:t>
      </w:r>
    </w:p>
    <w:p>
      <w:pPr>
        <w:pStyle w:val="[Normal]"/>
        <w:spacing w:line="360" w:lineRule="auto"/>
        <w:ind w:firstLine="1134"/>
        <w:jc w:val="both"/>
        <w:rPr>
          <w:lang w:val="es-AR" w:eastAsia="es-AR" w:bidi="es-AR"/>
        </w:rPr>
      </w:pPr>
      <w:r>
        <w:rPr>
          <w:lang w:val="es-AR" w:eastAsia="es-AR" w:bidi="es-AR"/>
        </w:rPr>
        <w:t xml:space="preserve">Desde esa perspectiva, el razonamiento de la magistrada se muestra ajustado a derecho al distinguir los dos planos en los que intervino el demandado: por un lado, como heredero -respecto de lo cual solo debe restituir lo percibido en exceso- y, por otro, como adquirente de cuotas hereditarias, supuesto en el cual su situación se rige por las reglas propias de los actos jurídicos celebrados con los restantes coherederos. </w:t>
      </w:r>
    </w:p>
    <w:p>
      <w:pPr>
        <w:pStyle w:val="[Normal]"/>
        <w:spacing w:line="360" w:lineRule="auto"/>
        <w:ind w:firstLine="1134"/>
        <w:jc w:val="both"/>
        <w:rPr>
          <w:lang w:val="es-AR" w:eastAsia="es-AR" w:bidi="es-AR"/>
        </w:rPr>
      </w:pPr>
      <w:r>
        <w:rPr>
          <w:lang w:val="es-AR" w:eastAsia="es-AR" w:bidi="es-AR"/>
        </w:rPr>
        <w:t xml:space="preserve">En este último aspecto, no puede trasladarse automáticamente al demandado la obligación de responder por las porciones que fueron percibidas por otros coherederos, aun cuando con posterioridad las hubiere adquirido, pues ello implicaría desvirtuar la naturaleza de la acción entablada y suplir la falta de reclamo oportuno contra quienes efectivamente recibieron dichas porciones.</w:t>
      </w:r>
    </w:p>
    <w:p>
      <w:pPr>
        <w:pStyle w:val="[Normal]"/>
        <w:spacing w:line="360" w:lineRule="auto"/>
        <w:ind w:firstLine="1134"/>
        <w:jc w:val="both"/>
        <w:rPr>
          <w:lang w:val="es-AR" w:eastAsia="es-AR" w:bidi="es-AR"/>
        </w:rPr>
      </w:pPr>
      <w:r>
        <w:rPr>
          <w:lang w:val="es-AR" w:eastAsia="es-AR" w:bidi="es-AR"/>
        </w:rPr>
        <w:t xml:space="preserve">Por otra parte, los argumentos vinculados al contrato de arrendamiento celebrado entre las partes tampoco resultan idóneos para modificar lo decidido. Dicho negocio jurídico, aun cuando pueda ser interpretado como un reconocimiento de la situación posesoria o de determinados derechos por parte del demandado, no tiene entidad suficiente para alterar el régimen legal aplicable ni para extender su responsabilidad más allá de los límites fijados por la normativa sucesoria. </w:t>
      </w:r>
    </w:p>
    <w:p>
      <w:pPr>
        <w:pStyle w:val="[Normal]"/>
        <w:spacing w:line="360" w:lineRule="auto"/>
        <w:ind w:firstLine="1134"/>
        <w:jc w:val="both"/>
        <w:rPr>
          <w:lang w:val="es-AR" w:eastAsia="es-AR" w:bidi="es-AR"/>
        </w:rPr>
      </w:pPr>
      <w:r>
        <w:rPr>
          <w:lang w:val="es-AR" w:eastAsia="es-AR" w:bidi="es-AR"/>
        </w:rPr>
        <w:t xml:space="preserve">Es decir que aquello no permite concluir que el demandado deba responder por la totalidad de la porción reclamada, cuando solo percibió en exceso una fracción circunscripta en su calidad de heredero.</w:t>
      </w:r>
    </w:p>
    <w:p>
      <w:pPr>
        <w:pStyle w:val="[Normal]"/>
        <w:spacing w:line="360" w:lineRule="auto"/>
        <w:ind w:firstLine="1134"/>
        <w:jc w:val="both"/>
        <w:rPr>
          <w:lang w:val="es-AR" w:eastAsia="es-AR" w:bidi="es-AR"/>
        </w:rPr>
      </w:pPr>
      <w:r>
        <w:rPr>
          <w:lang w:val="es-AR" w:eastAsia="es-AR" w:bidi="es-AR"/>
        </w:rPr>
        <w:t xml:space="preserve">En consecuencia, toda vez que la sentencia recurrida ha efectuado una correcta valoración de las constancias de la causa y una adecuada aplicación del derecho vigente, corresponde rechazar el agravio en este aspecto.</w:t>
      </w:r>
    </w:p>
    <w:p>
      <w:pPr>
        <w:pStyle w:val="[Normal]"/>
        <w:spacing w:line="360" w:lineRule="auto"/>
        <w:ind w:firstLine="1134"/>
        <w:jc w:val="both"/>
        <w:rPr>
          <w:lang w:val="es-AR" w:eastAsia="es-AR" w:bidi="es-AR"/>
        </w:rPr>
      </w:pPr>
      <w:r>
        <w:rPr>
          <w:lang w:val="es-AR" w:eastAsia="es-AR" w:bidi="es-AR"/>
        </w:rPr>
        <w:t xml:space="preserve">Igual suerte ha de correr el agravio vinculado con el rechazo del reclamo indemnizatorio. En tal sentido, la inexistencia de mala fe, conforme lo expuesto precedentemente, excluye la procedencia de la obligación de restituir frutos. A ello se suma que el planteo introducido por la parte actora se sustenta en afirmaciones de carácter genérico, sin precisar de manera concreta en su escrito postulatorio la cuantía del daño cuya reparación se pretende, ni aportar elementos probatorios suficientes que permitan tener por acreditada su existencia y extensión, lo que impide su recepción favorable.</w:t>
      </w:r>
    </w:p>
    <w:p>
      <w:pPr>
        <w:pStyle w:val="[Normal]"/>
        <w:spacing w:line="360" w:lineRule="auto"/>
        <w:ind w:firstLine="1134"/>
        <w:jc w:val="both"/>
        <w:rPr>
          <w:lang w:val="es-AR" w:eastAsia="es-AR" w:bidi="es-AR"/>
        </w:rPr>
      </w:pPr>
      <w:r>
        <w:rPr>
          <w:lang w:val="es-AR" w:eastAsia="es-AR" w:bidi="es-AR"/>
        </w:rPr>
        <w:t xml:space="preserve">En lo atinente a la valoración de la prueba testimonial, no se advierte que el pronunciamiento recurrido haya incurrido en un apartamiento de las reglas que informan la sana crítica racional, en tanto la magistrada de primera instancia ha efectuado un análisis razonado, coherente y ajustado a derecho de las declaraciones incorporadas al proceso. En efecto, los testimonios no han sido considerados de manera aislada o fragmentaria, sino ponderados en forma conjunta y armónica con el resto del material probatorio obrante en autos, conforme a las pautas de apreciación integral que rigen en la materia.</w:t>
      </w:r>
    </w:p>
    <w:p>
      <w:pPr>
        <w:pStyle w:val="[Normal]"/>
        <w:spacing w:line="360" w:lineRule="auto"/>
        <w:ind w:firstLine="1134"/>
        <w:jc w:val="both"/>
        <w:rPr>
          <w:lang w:val="es-AR" w:eastAsia="es-AR" w:bidi="es-AR"/>
        </w:rPr>
      </w:pPr>
      <w:r>
        <w:rPr>
          <w:lang w:val="es-AR" w:eastAsia="es-AR" w:bidi="es-AR"/>
        </w:rPr>
        <w:t xml:space="preserve">En este contexto, las objeciones formuladas por la quejosa se sustentan en apreciaciones parciales y carentes de la entidad suficiente para conmover los fundamentos de la decisión adoptada. Las referencias señaladas no logran desvirtuar la conclusión central a la que arriba la  sentenciante en torno al alcance de las adquisiciones efectuadas por el demandado, conclusión que encuentra adecuado sustento en la valoración global de la prueba producida. Por tanto no se verifica la existencia de error manifiesto ni de arbitrariedad en la apreciación de la prueba testimonial que justifique apartarse de lo resuelto en la instancia de grado.</w:t>
      </w:r>
    </w:p>
    <w:p>
      <w:pPr>
        <w:pStyle w:val="[Normal]"/>
        <w:spacing w:line="360" w:lineRule="auto"/>
        <w:ind w:firstLine="1134"/>
        <w:jc w:val="both"/>
        <w:rPr>
          <w:lang w:val="es-AR" w:eastAsia="es-AR" w:bidi="es-AR"/>
        </w:rPr>
      </w:pPr>
      <w:r>
        <w:rPr>
          <w:lang w:val="es-AR" w:eastAsia="es-AR" w:bidi="es-AR"/>
        </w:rPr>
        <w:t xml:space="preserve">Finalmente, en lo que hace a los agravios expuestos por ambas partes en torno al régimen de costas determinado en la sentencia en crisis, corresponde mantener el criterio adoptado en la instancia de grado. Y es que el resultado del proceso y su forma de resolución evidencia un vencimiento parcial y mutuo. La actora no obtuvo el reconocimiento pleno de su pretensión y por otro lado la demandada tampoco logró el rechazo total de la demanda, manteniéndose incólume el allanamiento parcial ensayado oportunamente. A ello se suma que tal decisión no ha reunido los requisitos de incondicionalidad y totalidad exigidos por la norma. En consecuencia, la distribución de costas en el orden causado aparece como la solución más adecuada a las circunstancias del caso.</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b/>
          <w:lang w:val="es-AR" w:eastAsia="es-AR" w:bidi="es-AR"/>
        </w:rPr>
        <w:t xml:space="preserve">VOTO POR LA AFIRMATIVA.</w:t>
      </w:r>
    </w:p>
    <w:p>
      <w:pPr>
        <w:pStyle w:val="[Normal]"/>
        <w:spacing w:line="360" w:lineRule="auto"/>
        <w:ind w:firstLine="1134"/>
        <w:jc w:val="both"/>
        <w:rPr>
          <w:lang w:val="es-AR" w:eastAsia="es-AR" w:bidi="es-AR"/>
        </w:rPr>
      </w:pPr>
      <w:r>
        <w:rPr>
          <w:lang w:val="es-AR" w:eastAsia="es-AR" w:bidi="es-AR"/>
        </w:rPr>
        <w:t xml:space="preserve">A la misma cuestión la señora Jueza </w:t>
      </w:r>
      <w:r>
        <w:rPr>
          <w:color w:val="000000"/>
          <w:lang w:val="es-AR" w:eastAsia="es-AR" w:bidi="es-AR"/>
        </w:rPr>
        <w:t xml:space="preserve">Graciela Hilda Scaraffia</w:t>
      </w:r>
      <w:r>
        <w:rPr>
          <w:lang w:val="es-AR" w:eastAsia="es-AR" w:bidi="es-AR"/>
        </w:rPr>
        <w:t xml:space="preserve"> por análogos fundamentos votó en el mismo sentido.</w:t>
      </w:r>
    </w:p>
    <w:p>
      <w:pPr>
        <w:pStyle w:val="[Normal]"/>
        <w:spacing w:line="360" w:lineRule="auto"/>
        <w:ind w:firstLine="1134"/>
        <w:jc w:val="both"/>
        <w:rPr>
          <w:lang w:val="es-AR" w:eastAsia="es-AR" w:bidi="es-AR"/>
        </w:rPr>
      </w:pPr>
      <w:r>
        <w:rPr>
          <w:lang w:val="es-AR" w:eastAsia="es-AR" w:bidi="es-AR"/>
        </w:rPr>
        <w:t xml:space="preserve">A la segunda cuestión el señor Juez </w:t>
      </w:r>
      <w:r>
        <w:rPr>
          <w:color w:val="000000"/>
          <w:lang w:val="es-AR" w:eastAsia="es-AR" w:bidi="es-AR"/>
        </w:rPr>
        <w:t xml:space="preserve">Roberto Manuel Degleue</w:t>
      </w:r>
      <w:r>
        <w:rPr>
          <w:lang w:val="es-AR" w:eastAsia="es-AR" w:bidi="es-AR"/>
        </w:rPr>
        <w:t xml:space="preserve"> dijo: 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Confirmar la sentencia atacada en todo cuanto ha sido materia de recurso.</w:t>
      </w:r>
    </w:p>
    <w:p>
      <w:pPr>
        <w:pStyle w:val="[Normal]"/>
        <w:spacing w:line="360" w:lineRule="auto"/>
        <w:ind w:firstLine="1134"/>
        <w:jc w:val="both"/>
        <w:rPr>
          <w:lang w:val="es-AR" w:eastAsia="es-AR" w:bidi="es-AR"/>
        </w:rPr>
      </w:pPr>
      <w:r>
        <w:rPr>
          <w:lang w:val="es-AR" w:eastAsia="es-AR" w:bidi="es-AR"/>
        </w:rPr>
        <w:t xml:space="preserve">Imponer las costas de alzada por su orden causado (art. 71 del CPC)</w:t>
      </w:r>
    </w:p>
    <w:p>
      <w:pPr>
        <w:pStyle w:val="[Normal]"/>
        <w:spacing w:line="360" w:lineRule="auto"/>
        <w:ind w:firstLine="1134"/>
        <w:jc w:val="both"/>
        <w:rPr>
          <w:lang w:val="es-AR" w:eastAsia="es-AR" w:bidi="es-AR"/>
        </w:rPr>
      </w:pPr>
      <w:r>
        <w:rPr>
          <w:lang w:val="es-AR" w:eastAsia="es-AR" w:bidi="es-AR"/>
        </w:rPr>
        <w:t xml:space="preserve">Diferir la regulación de honorarios para el momento procesal oportuno.</w:t>
      </w:r>
    </w:p>
    <w:p>
      <w:pPr>
        <w:pStyle w:val="[Normal]"/>
        <w:spacing w:line="360" w:lineRule="auto"/>
        <w:ind w:firstLine="1134"/>
        <w:jc w:val="both"/>
        <w:rPr>
          <w:lang w:val="es-AR" w:eastAsia="es-AR" w:bidi="es-AR"/>
        </w:rPr>
      </w:pPr>
      <w:r>
        <w:rPr>
          <w:b/>
          <w:lang w:val="es-AR" w:eastAsia="es-AR" w:bidi="es-AR"/>
        </w:rPr>
        <w:t xml:space="preserve">ASÍ LO VOTO. </w:t>
      </w:r>
    </w:p>
    <w:p>
      <w:pPr>
        <w:pStyle w:val="[Normal]"/>
        <w:spacing w:line="360" w:lineRule="auto"/>
        <w:ind w:firstLine="1134"/>
        <w:jc w:val="both"/>
        <w:rPr>
          <w:lang w:val="es-AR" w:eastAsia="es-AR" w:bidi="es-AR"/>
        </w:rPr>
      </w:pPr>
      <w:r>
        <w:rPr>
          <w:lang w:val="es-AR" w:eastAsia="es-AR" w:bidi="es-AR"/>
        </w:rPr>
        <w:t xml:space="preserve">A la misma cuestión la señora Jueza </w:t>
      </w:r>
      <w:r>
        <w:rPr>
          <w:color w:val="000000"/>
          <w:lang w:val="es-AR" w:eastAsia="es-AR" w:bidi="es-AR"/>
        </w:rPr>
        <w:t xml:space="preserve">Graciela Hilda Scaraffia</w:t>
      </w:r>
      <w:r>
        <w:rPr>
          <w:lang w:val="es-AR" w:eastAsia="es-AR" w:bidi="es-AR"/>
        </w:rPr>
        <w:t xml:space="preserve"> por análogos fundamentos votó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b/>
          <w:u w:val="single"/>
          <w:lang w:val="es-AR" w:eastAsia="es-AR" w:bidi="es-AR"/>
        </w:rPr>
      </w:pPr>
      <w:r>
        <w:rPr>
          <w:b/>
          <w:u w:val="single"/>
          <w:lang w:val="es-AR" w:eastAsia="es-AR" w:bidi="es-AR"/>
        </w:rPr>
        <w:t xml:space="preserve">S E N T E N C I A</w:t>
      </w:r>
      <w:r>
        <w:rPr>
          <w:u w:val="single"/>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Confirmar la sentencia atacada en todo cuanto ha sido materia de recurso.</w:t>
      </w:r>
    </w:p>
    <w:p>
      <w:pPr>
        <w:pStyle w:val="[Normal]"/>
        <w:spacing w:line="360" w:lineRule="auto"/>
        <w:ind w:firstLine="1134"/>
        <w:jc w:val="both"/>
        <w:rPr>
          <w:lang w:val="es-AR" w:eastAsia="es-AR" w:bidi="es-AR"/>
        </w:rPr>
      </w:pPr>
      <w:r>
        <w:rPr>
          <w:lang w:val="es-AR" w:eastAsia="es-AR" w:bidi="es-AR"/>
        </w:rPr>
        <w:t xml:space="preserve">Imponer las costas de alzada por su orden causado (art. 71 del CPC).</w:t>
      </w:r>
    </w:p>
    <w:p>
      <w:pPr>
        <w:pStyle w:val="[Normal]"/>
        <w:spacing w:line="360" w:lineRule="auto"/>
        <w:ind w:firstLine="1134"/>
        <w:jc w:val="both"/>
        <w:rPr>
          <w:lang w:val="es-AR" w:eastAsia="es-AR" w:bidi="es-AR"/>
        </w:rPr>
      </w:pPr>
      <w:r>
        <w:rPr>
          <w:lang w:val="es-AR" w:eastAsia="es-AR" w:bidi="es-AR"/>
        </w:rPr>
        <w:t xml:space="preserve">Diferir la regulación de honorarios para el momento procesal oportuno.</w:t>
      </w:r>
    </w:p>
    <w:p>
      <w:pPr>
        <w:pStyle w:val="[Normal]"/>
        <w:spacing w:line="360" w:lineRule="auto"/>
        <w:ind w:firstLine="1134"/>
        <w:jc w:val="both"/>
        <w:rPr>
          <w:color w:val="000000"/>
          <w:lang w:val="es-AR" w:eastAsia="es-AR" w:bidi="es-AR"/>
        </w:rPr>
      </w:pPr>
      <w:r>
        <w:rPr>
          <w:lang w:val="es-AR" w:eastAsia="es-AR" w:bidi="es-AR"/>
        </w:rPr>
        <w:t xml:space="preserve">Regístrese. Notifíquese por Secretaría (Ac. 4013 y mod. SCBA) remitiéndose copia digital de la presente sentencia a los domicilios electrónicos de las respectivas partes. Devuélvase.</w:t>
      </w:r>
    </w:p>
    <w:p>
      <w:pPr>
        <w:pStyle w:val="[Normal]"/>
        <w:spacing w:line="480" w:lineRule="auto"/>
        <w:ind w:firstLine="1134"/>
        <w:jc w:val="both"/>
        <w:rPr>
          <w:color w:val="000000"/>
          <w:lang w:val="es-AR" w:eastAsia="es-AR" w:bidi="es-AR"/>
        </w:rPr>
      </w:pPr>
    </w:p>
    <w:p>
      <w:pPr>
        <w:pStyle w:val="[Normal]"/>
        <w:spacing w:line="480" w:lineRule="auto"/>
        <w:ind w:firstLine="1134"/>
        <w:jc w:val="both"/>
        <w:rPr>
          <w:color w:val="000000"/>
          <w:lang w:val="es-AR" w:eastAsia="es-AR" w:bidi="es-AR"/>
        </w:rPr>
      </w:pPr>
    </w:p>
    <w:p>
      <w:pPr>
        <w:pStyle w:val="[Normal]"/>
        <w:spacing w:line="480" w:lineRule="auto"/>
        <w:ind w:firstLine="1134"/>
        <w:jc w:val="both"/>
        <w:rPr>
          <w:color w:val="000000"/>
          <w:lang w:val="es-AR" w:eastAsia="es-AR" w:bidi="es-AR"/>
        </w:rPr>
      </w:pPr>
    </w:p>
    <w:p>
      <w:pPr>
        <w:pStyle w:val="[Normal]"/>
        <w:spacing w:line="480" w:lineRule="auto"/>
        <w:ind w:firstLine="1134"/>
        <w:jc w:val="both"/>
        <w:rPr>
          <w:color w:val="000000"/>
          <w:lang w:val="es-AR" w:eastAsia="es-AR" w:bidi="es-AR"/>
        </w:rPr>
      </w:pP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05/05/2026 10:02:01 -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05/05/2026 10:33:23 -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05/05/2026 10:44:39 - TROTTA Alfonso Bartolome - AUXILIAR LETRADO DE CÁMARA DE APELACIÓN</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lang w:val="es-AR" w:eastAsia="es-AR" w:bidi="es-AR"/>
        </w:rPr>
      </w:pPr>
      <w:r>
        <w:rPr>
          <w:rFonts w:ascii="BarCode 128" w:hAnsi="BarCode 128" w:eastAsia="BarCode 128" w:cs="BarCode 128"/>
          <w:sz w:val="60"/>
          <w:lang w:val="es-AR" w:eastAsia="es-AR" w:bidi="es-AR"/>
        </w:rPr>
        <w:t xml:space="preserve">‰9R")è&amp;xCo]Š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lang w:val="es-AR" w:eastAsia="es-AR" w:bidi="es-AR"/>
        </w:rPr>
      </w:pPr>
      <w:r>
        <w:rPr>
          <w:sz w:val="20"/>
          <w:lang w:val="es-AR" w:eastAsia="es-AR" w:bidi="es-AR"/>
        </w:rPr>
        <w:t xml:space="preserve">255002090006883579</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lang w:val="es-AR" w:eastAsia="es-AR" w:bidi="es-AR"/>
        </w:rPr>
        <w:t xml:space="preserve">CAMARA DE APELACION EN LO CIVIL Y COMERCIAL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NO CONTIENE ARCHIVOS ADJUNTOS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Registrado en REGISTRO DE SENTENCIAS el 05/05/2026 10:44:58 hs. bajo el número RS-69-2026 por TROTTA ALFONSO BARTOLOME.</w:t>
      </w:r>
    </w:p>
    <w:p>
      <w:pPr>
        <w:pStyle w:val="[Normal]"/>
        <w:rPr>
          <w:lang w:val="es-AR" w:eastAsia="es-AR" w:bidi="es-AR"/>
        </w:rPr>
      </w:pP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3" Type="http://schemas.openxmlformats.org/officeDocument/2006/relationships/fontTable" Target="fontTable.xml"/>
	<Relationship Id="rId00004" Type="http://schemas.openxmlformats.org/officeDocument/2006/relationships/settings" Target="settings.xml"/>
</Relationships>
</file>