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5984-26</w:t>
      </w:r>
      <w:r>
        <w:rPr>
          <w:lang w:val="es-AR" w:eastAsia="es-AR" w:bidi="es-AR"/>
        </w:rPr>
        <w:t xml:space="preserve"> caratulada </w:t>
      </w:r>
      <w:r>
        <w:rPr>
          <w:b/>
          <w:lang w:val="es-AR" w:eastAsia="es-AR" w:bidi="es-AR"/>
        </w:rPr>
        <w:t xml:space="preserve">"</w:t>
      </w:r>
      <w:r>
        <w:rPr>
          <w:b/>
          <w:color w:val="000000"/>
          <w:lang w:val="es-AR" w:eastAsia="es-AR" w:bidi="es-AR"/>
        </w:rPr>
        <w:t xml:space="preserve">DE PASCUALE, MONICA GRACIELA C/ FEDERACION DE VENDEDORES DE DIARIO Y REVISTAS DE LA REPUBLICA ARGENTINA  S/ PRESCRIPCION ADQUISITIVA LARGA</w:t>
      </w:r>
      <w:r>
        <w:rPr>
          <w:b/>
          <w:lang w:val="es-AR" w:eastAsia="es-AR" w:bidi="es-AR"/>
        </w:rPr>
        <w:t xml:space="preserve">"</w:t>
      </w:r>
      <w:r>
        <w:rPr>
          <w:lang w:val="es-AR" w:eastAsia="es-AR" w:bidi="es-AR"/>
        </w:rPr>
        <w:t xml:space="preserve">, Expte. </w:t>
      </w:r>
      <w:r>
        <w:rPr>
          <w:color w:val="000000"/>
          <w:lang w:val="es-AR" w:eastAsia="es-AR" w:bidi="es-AR"/>
        </w:rPr>
        <w:t xml:space="preserve">86.702</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rStyle w:val="STRONG"/>
          <w:b w:val="off"/>
          <w:lang w:val="es-AR" w:eastAsia="es-AR" w:bidi="es-AR"/>
        </w:rPr>
      </w:pPr>
      <w:r>
        <w:rPr>
          <w:lang w:val="es-AR" w:eastAsia="es-AR" w:bidi="es-AR"/>
        </w:rPr>
        <w:t xml:space="preserve">La Sra. Jueza de la anterior instancia rechazó la demanda que por adquisición de dominio por posesión veinteñal promoviera la parte actora contra la </w:t>
      </w:r>
      <w:r>
        <w:rPr>
          <w:color w:val="000000"/>
          <w:lang w:val="es-AR" w:eastAsia="es-AR" w:bidi="es-AR"/>
        </w:rPr>
        <w:t xml:space="preserve">Federación de Vendedores de Diario y Revistas de la República Argentina</w:t>
      </w:r>
      <w:r>
        <w:rPr>
          <w:lang w:val="es-AR" w:eastAsia="es-AR" w:bidi="es-AR"/>
        </w:rPr>
        <w:t xml:space="preserve"> sobre el bien inmueble identificado catastralmente como: Circunscripción 1– Sección B – Manzana 98 – Parcela 12 a, Partida Inmobiliaria 43746, </w:t>
      </w:r>
      <w:r>
        <w:rPr>
          <w:rStyle w:val="STRONG"/>
          <w:b w:val="off"/>
          <w:lang w:val="es-AR" w:eastAsia="es-AR" w:bidi="es-AR"/>
        </w:rPr>
        <w:t xml:space="preserve">Matrícula 36.490. Impuso las costas a la actora por resultar vencida y difirió la regulación de honorarios hasta tanto se cumpla con lo dispuesto en el artículo 27 de la ley 14.967.</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en fecha 27-1-2026, quien expresa agravios el 26-2-2026, habiendo la contraria contestado el traslado conferido en fecha 9-3-2026.-</w:t>
      </w:r>
    </w:p>
    <w:p>
      <w:pPr>
        <w:pStyle w:val="[Normal]"/>
        <w:spacing w:line="360" w:lineRule="auto"/>
        <w:ind w:firstLine="1134"/>
        <w:jc w:val="both"/>
        <w:rPr>
          <w:lang w:val="es-AR" w:eastAsia="es-AR" w:bidi="es-AR"/>
        </w:rPr>
      </w:pPr>
      <w:r>
        <w:rPr>
          <w:lang w:val="es-AR" w:eastAsia="es-AR" w:bidi="es-AR"/>
        </w:rPr>
        <w:t xml:space="preserve">En fecha 12-3-2026 se dictó el llamamiento de autos para sentencia,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Centra su crítica la quejosa en la sentencia de grado que rechazó su demanda para prescribir el inmueble identificado en autos.</w:t>
      </w:r>
    </w:p>
    <w:p>
      <w:pPr>
        <w:pStyle w:val="[Normal]"/>
        <w:spacing w:line="360" w:lineRule="auto"/>
        <w:ind w:firstLine="1134"/>
        <w:jc w:val="both"/>
        <w:rPr>
          <w:lang w:val="es-AR" w:eastAsia="es-AR" w:bidi="es-AR"/>
        </w:rPr>
      </w:pPr>
      <w:r>
        <w:rPr>
          <w:lang w:val="es-AR" w:eastAsia="es-AR" w:bidi="es-AR"/>
        </w:rPr>
        <w:t xml:space="preserve">Sostiene que la sentencia atacada resulta incoherente con los propios fundamentos que la jueza reconoce sobre la finalidad económica y social del instituto de la usucapión. Señala que se debió proteger a quien se comportó durante años como dueño frente a la inactividad del titular registral que se terminó beneficiando a quien nunca ejerció actos posesorios.</w:t>
      </w:r>
    </w:p>
    <w:p>
      <w:pPr>
        <w:pStyle w:val="[Normal]"/>
        <w:spacing w:line="360" w:lineRule="auto"/>
        <w:ind w:firstLine="1134"/>
        <w:jc w:val="both"/>
        <w:rPr>
          <w:lang w:val="es-AR" w:eastAsia="es-AR" w:bidi="es-AR"/>
        </w:rPr>
      </w:pPr>
      <w:r>
        <w:rPr>
          <w:lang w:val="es-AR" w:eastAsia="es-AR" w:bidi="es-AR"/>
        </w:rPr>
        <w:t xml:space="preserve"> Afirma que la demandada y el tercero citado generaron incertidumbre sobre la titularidad del bien y que ambos evidenciaron un abandono prolongado sobre el objeto de autos.</w:t>
      </w:r>
    </w:p>
    <w:p>
      <w:pPr>
        <w:pStyle w:val="[Normal]"/>
        <w:spacing w:line="360" w:lineRule="auto"/>
        <w:ind w:firstLine="1134"/>
        <w:jc w:val="both"/>
        <w:rPr>
          <w:lang w:val="es-AR" w:eastAsia="es-AR" w:bidi="es-AR"/>
        </w:rPr>
      </w:pPr>
      <w:r>
        <w:rPr>
          <w:lang w:val="es-AR" w:eastAsia="es-AR" w:bidi="es-AR"/>
        </w:rPr>
        <w:t xml:space="preserve">Por otro lado cuestiona la valoración de la prueba en relación al animus domini efectuada por la magistrada de primera instancia. Indica que en un proceso anterior sobre desalojo se tuvo por acreditada esa intención respecto del mismo inmueble y que ahora se arriba a una conclusión opuesta. </w:t>
      </w:r>
    </w:p>
    <w:p>
      <w:pPr>
        <w:pStyle w:val="[Normal]"/>
        <w:spacing w:line="360" w:lineRule="auto"/>
        <w:ind w:firstLine="1134"/>
        <w:jc w:val="both"/>
        <w:rPr>
          <w:lang w:val="es-AR" w:eastAsia="es-AR" w:bidi="es-AR"/>
        </w:rPr>
      </w:pPr>
      <w:r>
        <w:rPr>
          <w:lang w:val="es-AR" w:eastAsia="es-AR" w:bidi="es-AR"/>
        </w:rPr>
        <w:t xml:space="preserve">Critica que el rechazo se funde casi exclusivamente en la falta de comprobantes de pago de impuestos y tasas. Añade que dicha exigencia no surge del Código Civil y Comercial vigente y que la norma invocada por la jueza no establece un requisito indispensable sino solo una pauta de valoración.</w:t>
      </w:r>
    </w:p>
    <w:p>
      <w:pPr>
        <w:pStyle w:val="[Normal]"/>
        <w:spacing w:line="360" w:lineRule="auto"/>
        <w:ind w:firstLine="1134"/>
        <w:jc w:val="both"/>
        <w:rPr>
          <w:lang w:val="es-AR" w:eastAsia="es-AR" w:bidi="es-AR"/>
        </w:rPr>
      </w:pPr>
      <w:r>
        <w:rPr>
          <w:lang w:val="es-AR" w:eastAsia="es-AR" w:bidi="es-AR"/>
        </w:rPr>
        <w:t xml:space="preserve">Remarca que se encuentran acreditados los requisitos legales de la posesión. Destaca que la ocupación fue pública pacífica y continua por más de veinte años. </w:t>
      </w:r>
    </w:p>
    <w:p>
      <w:pPr>
        <w:pStyle w:val="[Normal]"/>
        <w:spacing w:line="360" w:lineRule="auto"/>
        <w:ind w:firstLine="1134"/>
        <w:jc w:val="both"/>
        <w:rPr>
          <w:lang w:val="es-AR" w:eastAsia="es-AR" w:bidi="es-AR"/>
        </w:rPr>
      </w:pPr>
      <w:r>
        <w:rPr>
          <w:lang w:val="es-AR" w:eastAsia="es-AR" w:bidi="es-AR"/>
        </w:rPr>
        <w:t xml:space="preserve">Señala que la prueba testimonial y documental que acredita la ocupación del inmueble desde 1979 y el desarrollo de actividad comercial resultan contundentes. Expresa que también existen constancias fiscales y municipales que respaldan su postura. Solicita la revocación del decisorio apelado y que se reconozca el dominio a su favor.</w:t>
      </w:r>
    </w:p>
    <w:p>
      <w:pPr>
        <w:pStyle w:val="[Normal]"/>
        <w:spacing w:line="360" w:lineRule="auto"/>
        <w:ind w:firstLine="1134"/>
        <w:jc w:val="both"/>
        <w:rPr>
          <w:lang w:val="es-AR" w:eastAsia="es-AR" w:bidi="es-AR"/>
        </w:rPr>
      </w:pPr>
      <w:r>
        <w:rPr>
          <w:lang w:val="es-AR" w:eastAsia="es-AR" w:bidi="es-AR"/>
        </w:rPr>
        <w:t xml:space="preserve">Al contestar el traslado conferido la demandada rebate los argumentos expuestos por el apelante, señala que la recurrente omitió cumplir con las exigencias requeridas por la normativa especifica y solicita la declaración de deserción del recurso.</w:t>
      </w:r>
    </w:p>
    <w:p>
      <w:pPr>
        <w:pStyle w:val="[Normal]"/>
        <w:spacing w:line="360" w:lineRule="auto"/>
        <w:ind w:firstLine="1134"/>
        <w:jc w:val="both"/>
        <w:rPr>
          <w:lang w:val="es-AR" w:eastAsia="es-AR" w:bidi="es-AR"/>
        </w:rPr>
      </w:pPr>
      <w:r>
        <w:rPr>
          <w:lang w:val="es-AR" w:eastAsia="es-AR" w:bidi="es-AR"/>
        </w:rPr>
        <w:t xml:space="preserve">Liminarmente, en relación a la cuestión introducida expresamente por la parte demandada en su responde relativa al incumplimiento de los recaudos establecidos por el art. 260 del CPCC respecto de la pieza recursiva introducida por la parte actora, cabe señalar que de la lectura del memorial arrimado por la accionante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Dicho ello, ya en tarea de resolver debo comenzar destacando que es claro el interés social comprometido en la cuestión, desde que al exigirse la posesión de la cosa como fundamento fáctico para acceder a ella por la vía de la prescripción adquisitiva, supone la actuación útil de quien no tiene la propiedad y que, sin embargo, la conserva frente a la inactividad del dueño.</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En consonancia con lo dispuesto por nuestro Cimero Tribunal, los organismos inferiores han dicho que: ".</w:t>
      </w:r>
      <w:r>
        <w:rPr>
          <w:i/>
          <w:lang w:val="es-AR" w:eastAsia="es-AR" w:bidi="es-AR"/>
        </w:rPr>
        <w:t xml:space="preserve">..La usucapión es un medio excepcional de adquisición del dominio y la comprobación de los extremos exigidos por la ley debe efectuarse de manera insospechable, clara y convincente, debe conjugarse esa demostración con las exigencias que se desprenden del texto de la ley 14.159 con las modificaciones introducidas por el dec. ley 5756/58. Ha de procederse, entonces, con criterio restrictivo, atento a las razones de orden público interesadas (argto. arts. 2524 inc. 7 y 4015 del Cód. Civil; arts. 1897, 1899, 1900 y ccdts. del Nuevo Cód. Civil y Comercial de la Nación)</w:t>
      </w:r>
      <w:r>
        <w:rPr>
          <w:lang w:val="es-AR" w:eastAsia="es-AR" w:bidi="es-AR"/>
        </w:rPr>
        <w:t xml:space="preserve">.CC0103 MP 156640 S 04/02/2016 Juez ZAMPINI (MA). JUBA B5032018.</w:t>
      </w:r>
    </w:p>
    <w:p>
      <w:pPr>
        <w:pStyle w:val="[Normal]"/>
        <w:spacing w:line="360" w:lineRule="auto"/>
        <w:ind w:firstLine="1134"/>
        <w:jc w:val="both"/>
        <w:rPr>
          <w:lang w:val="es-AR" w:eastAsia="es-AR" w:bidi="es-AR"/>
        </w:rPr>
      </w:pPr>
      <w:r>
        <w:rPr>
          <w:lang w:val="es-AR" w:eastAsia="es-AR" w:bidi="es-AR"/>
        </w:rPr>
        <w:t xml:space="preserve">Resulta relevante mencionar que el presente proceso fue iniciado en fecha 1-12-2021 por la Sra. Francisca Antonia Sola. Posteriormente el 23-6-2022 comparece su hija, Mónica Graciela De Pascuale quien amplia demanda y expone que conforme la escritura n°57 pasada ante el escribano Eugenio De Miguel del 16-3-2022, su madre Francisca Antonia Sola le cedió las acciones y derechos litigiosos que tiene y le corresponden en el presente juicio.</w:t>
      </w:r>
    </w:p>
    <w:p>
      <w:pPr>
        <w:pStyle w:val="[Normal]"/>
        <w:spacing w:line="360" w:lineRule="auto"/>
        <w:ind w:firstLine="1134"/>
        <w:jc w:val="both"/>
        <w:rPr>
          <w:lang w:val="es-AR" w:eastAsia="es-AR" w:bidi="es-AR"/>
        </w:rPr>
      </w:pPr>
      <w:r>
        <w:rPr>
          <w:lang w:val="es-AR" w:eastAsia="es-AR" w:bidi="es-AR"/>
        </w:rPr>
        <w:t xml:space="preserve"> Sentado aquello, corresponde abordar el agravio introducido por la recurrente, quien denuncia la existencia de una supuesta contradicción en el pronunciamiento apelado en torno a la ausencia de acreditación del animus domini. Sosteniendo que dicho extremo habría sido expresamente reconocido en la sentencia definitiva de fecha 6-9-2016 recaída en los autos "Federación De Vendedores De Diarios Y Revista De La República Argentina c/ Sola Francisca Antonia y/o otro/a s/ Desalojo", Expte. Nº 68.627, de tramite por ante el Juzgado Civil y Comercial Nº1 Departamental.</w:t>
      </w:r>
    </w:p>
    <w:p>
      <w:pPr>
        <w:pStyle w:val="[Normal]"/>
        <w:spacing w:line="360" w:lineRule="auto"/>
        <w:ind w:firstLine="1134"/>
        <w:jc w:val="both"/>
        <w:rPr>
          <w:lang w:val="es-AR" w:eastAsia="es-AR" w:bidi="es-AR"/>
        </w:rPr>
      </w:pPr>
      <w:r>
        <w:rPr>
          <w:lang w:val="es-AR" w:eastAsia="es-AR" w:bidi="es-AR"/>
        </w:rPr>
        <w:t xml:space="preserve">Al respecto cabe señalar que la quejosa incurre en un error al afirmar que ambos procesos fueron resueltos por un mismo magistrado, extremo que se desvirtúa con la sola compulsa de las resoluciones respectivas de las que surge con nitidez la intervención del magistrado Ramiro Guerrico en la mencionada causa de desalojo, en tanto que la jueza Mariangeles Villalba ha intervenido y resuelto la actual sentencia en crisis.</w:t>
      </w:r>
    </w:p>
    <w:p>
      <w:pPr>
        <w:pStyle w:val="[Normal]"/>
        <w:spacing w:line="360" w:lineRule="auto"/>
        <w:ind w:firstLine="1134"/>
        <w:jc w:val="both"/>
        <w:rPr>
          <w:lang w:val="es-AR" w:eastAsia="es-AR" w:bidi="es-AR"/>
        </w:rPr>
      </w:pPr>
      <w:r>
        <w:rPr>
          <w:lang w:val="es-AR" w:eastAsia="es-AR" w:bidi="es-AR"/>
        </w:rPr>
        <w:t xml:space="preserve">A su vez, y en lo atinente a la ponderación del elemento subjetivo del animus domini efectuada en el marco del proceso de desalojo, el magistrado Guerrico manifestó textualmente: "</w:t>
      </w:r>
      <w:r>
        <w:rPr>
          <w:i/>
          <w:lang w:val="es-AR" w:eastAsia="es-AR" w:bidi="es-AR"/>
        </w:rPr>
        <w:t xml:space="preserve">Que, atento el análisis realizado, lo que surge de la prueba producida -detallada precedentemente-, la acreditación -prima facie- del animus domini por parte de la demandada y la calidad de propietaria que aquella invocara respecto del bien objeto de autos; entiendo que la Sra. Francisca Antonia Sola no cuenta con la obligación de restituir o entregar el inmueble y, por ende, carente de legitimación pasiva para ser demandada por desalojo. Dejando aclarado que las argumentaciones vertidas en relación a la titularidad, posesión y/o derecho sobre el dominio del bien inmueble objeto de autos quedan marginadas de este proceso especial</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De la lectura integral del pasaje transcripto se desprende que el citado juez efectuó una apreciación meramente preliminar y acotada al restringido ámbito cognoscitivo propio del proceso de desalojo, limitándose a verificar la configuración de actos posesorios incompatibles con la obligación de restituir inherente a dicho tipo de acción. En modo alguno ello importa un reconocimiento definitivo de derechos dominiales ni, menos aún, genera incompatibilidad lógica o jurídica con lo resuelto en las presentes actuaciones. Por consiguiente, la alegada contradicción carece de sustento, circunstancia que conduce inexorablemente al rechazo del agravio bajo examen.</w:t>
      </w:r>
    </w:p>
    <w:p>
      <w:pPr>
        <w:pStyle w:val="[Normal]"/>
        <w:spacing w:line="360" w:lineRule="auto"/>
        <w:ind w:firstLine="1134"/>
        <w:jc w:val="both"/>
        <w:rPr>
          <w:lang w:val="es-AR" w:eastAsia="es-AR" w:bidi="es-AR"/>
        </w:rPr>
      </w:pPr>
      <w:r>
        <w:rPr>
          <w:lang w:val="es-AR" w:eastAsia="es-AR" w:bidi="es-AR"/>
        </w:rPr>
        <w:t xml:space="preserve">Por otro lado atañe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Corresponde destacar que los extremos requeridos para viabilizar la acción de usucapión son la existencia del corpus, entendido como el ejercicio del poder de hecho, de señorío sobre una cosa.  Y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En lo que respecta al primero de los recaudos -corpus-, la prueba testimonial rendida oportunamente en los autos "Federación de Vendedores de Diarios y Revistas de La República Argentina C/ Sola Francisca Antonia y/o Otro/A S/ Desalojo" Expte. Nº 68.627, mediante las actas de fecha 27-5-2016, en donde los testigos Héctor Rubén Sabbatini, Roberto Antonio Matijacevich, Nélida Cristina Costante y Susana Mabel Dinardo coincidieron en señalar que la Sra. Francisca Solá (madre de la actora) habitaba desde hacía décadas el inmueble de calle Moreno junto a su esposo e hijos. Agregaron que en dicho inmueble además funcionaba una peluquería de damas atendida por aquella. Todos refirieron que la nombrada realizó mejoras, arreglos y mantenimiento en la vivienda, ocupándose de la propiedad como dueña de la misma. </w:t>
      </w:r>
    </w:p>
    <w:p>
      <w:pPr>
        <w:pStyle w:val="[Normal]"/>
        <w:spacing w:line="360" w:lineRule="auto"/>
        <w:ind w:firstLine="1134"/>
        <w:jc w:val="both"/>
        <w:rPr>
          <w:lang w:val="es-AR" w:eastAsia="es-AR" w:bidi="es-AR"/>
        </w:rPr>
      </w:pPr>
      <w:r>
        <w:rPr>
          <w:lang w:val="es-AR" w:eastAsia="es-AR" w:bidi="es-AR"/>
        </w:rPr>
        <w:t xml:space="preserve">En ese orden de ideas también debe añadirse la única testigo de la presente causa, Sra. Carmen H. Conti, quien da cuenta en su calidad vecina que la actora y su madre ocupan el inmueble desde hace aproximadamente 40 años. Refiriendo también que la accionante ha realizado diversas mejoras y mantenimiento así como también la utilización en su momento de parte del predio para un salón de peluquería (ver acta de fecha 25-10-2023).</w:t>
      </w:r>
    </w:p>
    <w:p>
      <w:pPr>
        <w:pStyle w:val="[Normal]"/>
        <w:spacing w:line="360" w:lineRule="auto"/>
        <w:ind w:firstLine="1134"/>
        <w:jc w:val="both"/>
        <w:rPr>
          <w:lang w:val="es-AR" w:eastAsia="es-AR" w:bidi="es-AR"/>
        </w:rPr>
      </w:pPr>
      <w:r>
        <w:rPr>
          <w:lang w:val="es-AR" w:eastAsia="es-AR" w:bidi="es-AR"/>
        </w:rPr>
        <w:t xml:space="preserve">Sin perjuicio de ello y con relación a la</w:t>
      </w:r>
      <w:r>
        <w:rPr>
          <w:b/>
          <w:lang w:val="es-AR" w:eastAsia="es-AR" w:bidi="es-AR"/>
        </w:rPr>
        <w:t xml:space="preserve"> </w:t>
      </w:r>
      <w:r>
        <w:rPr>
          <w:lang w:val="es-AR" w:eastAsia="es-AR" w:bidi="es-AR"/>
        </w:rPr>
        <w:t xml:space="preserve">prueba testimonial, cabe recordar que la misma es insuficiente por sí sola, siendo preciso por tanto confrontar o ratificar los dichos de los testigos con otras pruebas</w:t>
      </w:r>
      <w:r>
        <w:rPr>
          <w:b/>
          <w:i/>
          <w:lang w:val="es-AR" w:eastAsia="es-AR" w:bidi="es-AR"/>
        </w:rPr>
        <w:t xml:space="preserve"> </w:t>
      </w:r>
      <w:r>
        <w:rPr>
          <w:lang w:val="es-AR" w:eastAsia="es-AR" w:bidi="es-AR"/>
        </w:rPr>
        <w:t xml:space="preserve">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Juez MENDIVIL (SD) JUBA B355325).-</w:t>
      </w:r>
    </w:p>
    <w:p>
      <w:pPr>
        <w:pStyle w:val="[Normal]"/>
        <w:spacing w:line="360" w:lineRule="auto"/>
        <w:ind w:firstLine="1134"/>
        <w:jc w:val="both"/>
        <w:rPr>
          <w:lang w:val="es-AR" w:eastAsia="es-AR" w:bidi="es-AR"/>
        </w:rPr>
      </w:pPr>
      <w:r>
        <w:rPr>
          <w:lang w:val="es-AR" w:eastAsia="es-AR" w:bidi="es-AR"/>
        </w:rPr>
        <w:t xml:space="preserve">En esta tónica, la inspección ocular realizada por la auxiliar letrada del juzgado da cuenta de la existencia en el inmueble en optimas condiciones de habitabilidad. (ver acta de inspección de fecha 6-2-2024).</w:t>
      </w:r>
    </w:p>
    <w:p>
      <w:pPr>
        <w:pStyle w:val="[Normal]"/>
        <w:spacing w:line="360" w:lineRule="auto"/>
        <w:ind w:firstLine="1134"/>
        <w:jc w:val="both"/>
        <w:rPr>
          <w:lang w:val="es-AR" w:eastAsia="es-AR" w:bidi="es-AR"/>
        </w:rPr>
      </w:pPr>
      <w:r>
        <w:rPr>
          <w:lang w:val="es-AR" w:eastAsia="es-AR" w:bidi="es-AR"/>
        </w:rPr>
        <w:t xml:space="preserve">Ahora bien, aún en supuesto de tenerse por probado el corpus posesorio mediante la realización de actos materiales, debe acreditarse ademas la posesión con ánimo de dueño, pues la existencia el primero no hace presumir la del segundo (cfr.  Cám. Civ. y Com Do, causa 85012 RSD 184/07).</w:t>
      </w:r>
    </w:p>
    <w:p>
      <w:pPr>
        <w:pStyle w:val="[Normal]"/>
        <w:spacing w:line="360" w:lineRule="auto"/>
        <w:ind w:firstLine="1134"/>
        <w:jc w:val="both"/>
        <w:rPr>
          <w:lang w:val="es-AR" w:eastAsia="es-AR" w:bidi="es-AR"/>
        </w:rPr>
      </w:pPr>
      <w:r>
        <w:rPr>
          <w:lang w:val="es-AR" w:eastAsia="es-AR" w:bidi="es-AR"/>
        </w:rPr>
        <w:t xml:space="preserve">Que, analizada la documental traída respecto de la partida inmobiliaria 082-35886-4, así como la obrante en los autos ofrecidos como prueba, caratulados: "Federación De Vendedores De Diarios Y Revista De La República Argentina C/ Sola Francisca Antonia Y/O Otro/A S/ Desalojo" Expte. Nº 68.627, que tramitara ante el Juzgado Civil y Comercial Nº 1 Departamental, se ha adjuntado: a) Certificado de Habilitación (Expte. letra C, Año 92, N°1100 de fecha 4 de noviembre de 1992); b) dos Formularios DGI de fechas 09-03-1992 y 20-01-1993;c) dos facturas de Telefónica de Argentina de fecha 18-08-1994 y 14-10-1994, d) una factura de TELECOM con vencimiento 10-10-2001; e) una factura de Litoral Gas de septiembre 2011 sin comprobante que acredite su pago; f) Factura Prodesca Sai y C. de fecha 30-05-2000; g) L'Oréal Argentina de fecha 31-07-2002; h) Alfaparf de fecha 30-09-2003 (artículos de peluquería); i) recorte del Diario La Opinión de fecha 19-08-2004; J) Formulario Rentas de fecha 31-08-2005, k) Factura Plegamex S.R.L. de fecha 30-04-2009 (materiales para la construcción) y un  talón de pago de OSDE de fecha 30-10-2015. Surge que éste material probatorio refiere a documentación atinente al comercio que supo tener la madre de la accionante así como también al pago de ciertos servicios, pero no se acredita el pago de impuestos, tasas y/o contribuciones.</w:t>
      </w:r>
    </w:p>
    <w:p>
      <w:pPr>
        <w:pStyle w:val="[Normal]"/>
        <w:spacing w:line="360" w:lineRule="auto"/>
        <w:ind w:firstLine="1134"/>
        <w:jc w:val="both"/>
        <w:rPr>
          <w:lang w:val="es-AR" w:eastAsia="es-AR" w:bidi="es-AR"/>
        </w:rPr>
      </w:pPr>
      <w:r>
        <w:rPr>
          <w:lang w:val="es-AR" w:eastAsia="es-AR" w:bidi="es-AR"/>
        </w:rPr>
        <w:t xml:space="preserve">Y es que la exigencia relativa a la acreditación sostenida y regular del pago de tributos provinciales y/o municipales durante el lapso legal requerido para usucapir dista de constituir un rigorismo meramente formal o caprichoso. Es decir que en consonancia con el restante plexo probatorio incorporado, esta prueba se erige como un elemento de singular relevancia convictiva, en tanto exterioriza y robustece la inequívoca voluntad del pretensor de comportarse respecto del inmueble como verdadero titular dominial, evidenciando de ese modo la configuración del indispensable animus domini.</w:t>
      </w:r>
    </w:p>
    <w:p>
      <w:pPr>
        <w:pStyle w:val="[Normal]"/>
        <w:spacing w:line="360" w:lineRule="auto"/>
        <w:ind w:firstLine="1134"/>
        <w:jc w:val="both"/>
        <w:rPr>
          <w:lang w:val="es-AR" w:eastAsia="es-AR" w:bidi="es-AR"/>
        </w:rPr>
      </w:pPr>
      <w:r>
        <w:rPr>
          <w:lang w:val="es-AR" w:eastAsia="es-AR" w:bidi="es-AR"/>
        </w:rPr>
        <w:t xml:space="preserve">En relación a los comprobantes de pago de servicios tales como luz, gas, teléfono etc. aportados y su valor probatorio, nuestra jurisprudencia ha dicho al respecto que: "...</w:t>
      </w:r>
      <w:r>
        <w:rPr>
          <w:i/>
          <w:lang w:val="es-AR" w:eastAsia="es-AR" w:bidi="es-AR"/>
        </w:rPr>
        <w:t xml:space="preserve">el pago de servicios por sí solo no es suficiente para tener por adquirido el dominio por usucapión, dándose especial consideración al pago de impuestos y tasas que graven al inmueble" (art. 24 ley 14.159)</w:t>
      </w:r>
      <w:r>
        <w:rPr>
          <w:lang w:val="es-AR" w:eastAsia="es-AR" w:bidi="es-AR"/>
        </w:rPr>
        <w:t xml:space="preserve">.CC0202 LP 125323 RSD 170/19 S 01/07/2019 Juez HANKOVITS (SD). JUBA B5062579.</w:t>
      </w:r>
    </w:p>
    <w:p>
      <w:pPr>
        <w:pStyle w:val="[Normal]"/>
        <w:spacing w:line="360" w:lineRule="auto"/>
        <w:ind w:firstLine="1134"/>
        <w:jc w:val="both"/>
        <w:rPr>
          <w:lang w:val="es-AR" w:eastAsia="es-AR" w:bidi="es-AR"/>
        </w:rPr>
      </w:pPr>
      <w:r>
        <w:rPr>
          <w:lang w:val="es-AR" w:eastAsia="es-AR" w:bidi="es-AR"/>
        </w:rPr>
        <w:t xml:space="preserve">Sobre ello, se ha sostenido jurisprudencialmente </w:t>
      </w:r>
      <w:r>
        <w:rPr>
          <w:i/>
          <w:lang w:val="es-AR" w:eastAsia="es-AR" w:bidi="es-AR"/>
        </w:rPr>
        <w:t xml:space="preserve">"El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w:t>
      </w:r>
      <w:r>
        <w:rPr>
          <w:i/>
          <w:lang w:val="es-AR" w:eastAsia="es-AR" w:bidi="es-AR"/>
        </w:rPr>
        <w:t xml:space="preserve">(CC0002 SM 57067 RSD-83-6 S 18/04/2006 JUBA 2004134).-</w:t>
      </w:r>
    </w:p>
    <w:p>
      <w:pPr>
        <w:pStyle w:val="[Normal]"/>
        <w:spacing w:line="360" w:lineRule="auto"/>
        <w:ind w:firstLine="1134"/>
        <w:jc w:val="both"/>
        <w:rPr>
          <w:lang w:val="es-AR" w:eastAsia="es-AR" w:bidi="es-AR"/>
        </w:rPr>
      </w:pPr>
      <w:r>
        <w:rPr>
          <w:lang w:val="es-AR" w:eastAsia="es-AR" w:bidi="es-AR"/>
        </w:rPr>
        <w:t xml:space="preserve">Del análisis integral de la prueba producida en autos se desprende que, si bien la Sra. Mónica Graciela De Pascuale y su madre habrían detentado la posesión del inmueble durante determinado lapso temporal, ello no resulta suficiente para tener por acreditado que dicha ocupación se ejerció con el ‘animus domini’ exigido para la adquisición del dominio por prescripción. La parte actora no cumplió con la carga probatoria que sobre ella recaía, no aportando la totalidad de la prueba compuesta requerida por el instituto en cuestión. (conf. arts. 1899 y ss. CCCN y arts. 375 y 384 CPCC).</w:t>
      </w:r>
    </w:p>
    <w:p>
      <w:pPr>
        <w:pStyle w:val="[Normal]"/>
        <w:spacing w:line="360" w:lineRule="auto"/>
        <w:ind w:firstLine="1134"/>
        <w:jc w:val="both"/>
        <w:rPr>
          <w:lang w:val="es-AR" w:eastAsia="es-AR" w:bidi="es-AR"/>
        </w:rPr>
      </w:pPr>
      <w:r>
        <w:rPr>
          <w:lang w:val="es-AR" w:eastAsia="es-AR" w:bidi="es-AR"/>
        </w:rPr>
        <w:t xml:space="preserve">Por todo lo expuesto, no encontrándose acreditado todos los extremos exigidos por la normativa aplicable en la materia por el plazo requerido por la ley, estimo ajustada a derecho la decisión de la magistrada de la instancia anterior.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20237804601@NOTIFICACIONES.SCBA.GOV.AR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10:00:05 -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10:14:40 -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10:23:27 -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‰8(")è&amp;ws6NŠ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240802090006878322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14/05/2026 10:23:45 hs. bajo el número RS-79-2026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