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6034-26</w:t>
      </w:r>
      <w:r>
        <w:rPr>
          <w:lang w:val="es-AR" w:eastAsia="es-AR" w:bidi="es-AR"/>
        </w:rPr>
        <w:t xml:space="preserve"> caratulada </w:t>
      </w:r>
      <w:r>
        <w:rPr>
          <w:b/>
          <w:lang w:val="es-AR" w:eastAsia="es-AR" w:bidi="es-AR"/>
        </w:rPr>
        <w:t xml:space="preserve">"</w:t>
      </w:r>
      <w:r>
        <w:rPr>
          <w:b/>
          <w:color w:val="000000"/>
          <w:lang w:val="es-AR" w:eastAsia="es-AR" w:bidi="es-AR"/>
        </w:rPr>
        <w:t xml:space="preserve">ALONSO GONZALO JAVIER  C/ TOCALINI MARCELO JOSE S/ EJECUCION DE SENTENCIA</w:t>
      </w:r>
      <w:r>
        <w:rPr>
          <w:b/>
          <w:lang w:val="es-AR" w:eastAsia="es-AR" w:bidi="es-AR"/>
        </w:rPr>
        <w:t xml:space="preserve">"</w:t>
      </w:r>
      <w:r>
        <w:rPr>
          <w:lang w:val="es-AR" w:eastAsia="es-AR" w:bidi="es-AR"/>
        </w:rPr>
        <w:t xml:space="preserve">, Expte. </w:t>
      </w:r>
      <w:r>
        <w:rPr>
          <w:color w:val="000000"/>
          <w:lang w:val="es-AR" w:eastAsia="es-AR" w:bidi="es-AR"/>
        </w:rPr>
        <w:t xml:space="preserve">74.486</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de la ley 14.432, en lo que al caso respecta y, en consecuencia, rechazó el pedido efectuado por la parte demandada en fecha 15/10/2025.  Atento que la sustanciación de la cuestión planteada no constituye un verdadero incidente de los reglados por el art. 175 y sigs. del C.P.C.C., sino un caso de los que la S.C.B.A. ha denominado "mera incidencia" (Conf. JUBA Sum. B22.850), consideró que no corresponde imposición de costas ni regulación de honorarios.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9-3-2026 por la parte demandada, concedido el 11-3-2026 en relación y con efecto suspensivo, fundado el 18-3-2026 y del mismo el 19-3-2026 traslado a la contraparte.  30-3-2026 la parte actora evacuó el mismo.</w:t>
      </w:r>
    </w:p>
    <w:p>
      <w:pPr>
        <w:pStyle w:val="[Normal]"/>
        <w:spacing w:line="360" w:lineRule="auto"/>
        <w:ind w:firstLine="1134"/>
        <w:jc w:val="both"/>
        <w:rPr>
          <w:lang w:val="es-AR" w:eastAsia="es-AR" w:bidi="es-AR"/>
        </w:rPr>
      </w:pPr>
      <w:r>
        <w:rPr>
          <w:lang w:val="es-AR" w:eastAsia="es-AR" w:bidi="es-AR"/>
        </w:rPr>
        <w:t xml:space="preserve">Elevados los autos a esta Alzada con fecha 9-4-2026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quejoso contra la resolución dictada el 2 de marzo de 2026 mediante la cual el operador de grado decretara la inconstitucionalidad de la Ley Provincial 14.432 y por ende rechazara el pedido de suspensión de la subasta del inmueble reseñado.  Dice que la misma fue dictada de oficio y sin sustanciación, sin que mediara pedido de parte.</w:t>
      </w:r>
    </w:p>
    <w:p>
      <w:pPr>
        <w:pStyle w:val="[Normal]"/>
        <w:spacing w:line="360" w:lineRule="auto"/>
        <w:ind w:firstLine="1134"/>
        <w:jc w:val="both"/>
        <w:rPr>
          <w:lang w:val="es-AR" w:eastAsia="es-AR" w:bidi="es-AR"/>
        </w:rPr>
      </w:pPr>
      <w:r>
        <w:rPr>
          <w:lang w:val="es-AR" w:eastAsia="es-AR" w:bidi="es-AR"/>
        </w:rPr>
        <w:t xml:space="preserve">Expresa que el aquo podía rechazar el planteo sin acudir a ese remedio, tales como la falta de inscripción  registral del beneficio y la ausencia de acreditación del carácter único de la vivienda, pero no acudiendo a un remedio excepcionalísimo, achacando que no se respetó el derecho de contradicción ni de defensa.</w:t>
      </w:r>
    </w:p>
    <w:p>
      <w:pPr>
        <w:pStyle w:val="[Normal]"/>
        <w:spacing w:line="360" w:lineRule="auto"/>
        <w:ind w:firstLine="1134"/>
        <w:jc w:val="both"/>
        <w:rPr>
          <w:lang w:val="es-AR" w:eastAsia="es-AR" w:bidi="es-AR"/>
        </w:rPr>
      </w:pPr>
      <w:r>
        <w:rPr>
          <w:lang w:val="es-AR" w:eastAsia="es-AR" w:bidi="es-AR"/>
        </w:rPr>
        <w:t xml:space="preserve">El segundo agravio lo apontoca sobre la fundamentación jurídica en la cual se motivó para llegar a la declaración de inconstitucionalidad, en tanto el magistrado entendió que la ley provincial invade materia delegada al Congreso Nacional en los términos del art. 75 inc 12 de la C.N apoyándose en una jurisprudencia de la Suprema Corte Nacional referida a la regulación de relaciones entre acreedor y deudor, señalando el quejoso que esa conclusión es errónea.</w:t>
      </w:r>
    </w:p>
    <w:p>
      <w:pPr>
        <w:pStyle w:val="[Normal]"/>
        <w:spacing w:line="360" w:lineRule="auto"/>
        <w:ind w:firstLine="1134"/>
        <w:jc w:val="both"/>
        <w:rPr>
          <w:lang w:val="es-AR" w:eastAsia="es-AR" w:bidi="es-AR"/>
        </w:rPr>
      </w:pPr>
      <w:r>
        <w:rPr>
          <w:lang w:val="es-AR" w:eastAsia="es-AR" w:bidi="es-AR"/>
        </w:rPr>
        <w:t xml:space="preserve">Afirma que la protección de la vivienda familiar es materia concurrente no exclusivamente delegada y que las provincias conservan las facultades no delegadas (art. 121 CN) y pueden legislar en materia de protección social y habitacional y la ley 14432 encuadra precisamente en ese espacio de legislación orientada a la tutela de un derecho fundamental.</w:t>
      </w:r>
    </w:p>
    <w:p>
      <w:pPr>
        <w:pStyle w:val="[Normal]"/>
        <w:spacing w:line="360" w:lineRule="auto"/>
        <w:ind w:firstLine="1134"/>
        <w:jc w:val="both"/>
        <w:rPr>
          <w:lang w:val="es-AR" w:eastAsia="es-AR" w:bidi="es-AR"/>
        </w:rPr>
      </w:pPr>
      <w:r>
        <w:rPr>
          <w:lang w:val="es-AR" w:eastAsia="es-AR" w:bidi="es-AR"/>
        </w:rPr>
        <w:t xml:space="preserve">Como tercer punto achaca una vulneración del derecho a la vivienda como garantía constitucional y que obliga a los jueces a ejercer el control de constitucionalidad en el caso concreto.</w:t>
      </w:r>
    </w:p>
    <w:p>
      <w:pPr>
        <w:pStyle w:val="[Normal]"/>
        <w:spacing w:line="360" w:lineRule="auto"/>
        <w:ind w:firstLine="1134"/>
        <w:jc w:val="both"/>
        <w:rPr>
          <w:lang w:val="es-AR" w:eastAsia="es-AR" w:bidi="es-AR"/>
        </w:rPr>
      </w:pPr>
      <w:r>
        <w:rPr>
          <w:lang w:val="es-AR" w:eastAsia="es-AR" w:bidi="es-AR"/>
        </w:rPr>
        <w:t xml:space="preserve">Entrando a dar tratamiento  a los agravios  se ha traído aquí un tema en disputa, el derecho de un acreedor a cobrar su crédito y por el otro el deudor de preservar su vivienda única.</w:t>
      </w:r>
    </w:p>
    <w:p>
      <w:pPr>
        <w:pStyle w:val="[Normal]"/>
        <w:spacing w:line="360" w:lineRule="auto"/>
        <w:ind w:firstLine="1134"/>
        <w:jc w:val="both"/>
        <w:rPr>
          <w:lang w:val="es-AR" w:eastAsia="es-AR" w:bidi="es-AR"/>
        </w:rPr>
      </w:pPr>
      <w:r>
        <w:rPr>
          <w:lang w:val="es-AR" w:eastAsia="es-AR" w:bidi="es-AR"/>
        </w:rPr>
        <w:t xml:space="preserve">Es necesario repasar que coexiste también una tensión normativa en cuanto la ley provincial 14.432 -cuya inconstitucionalidad ha declarado el operador de primera instancia-, dispone la inembargabilidad e inejecutabilidad de todo inmueble ubicado en la provincia de Buenos Aires destinado a vivienda única y de ocupación permanente salvo renuncia expresa de su titular, cuyos fundamentos se basan en la protección de los derechos de segunda generación (art. 14 bis de la Constitución Nacional) y el art. 36 inc 7 de la Constitución de la Provincia que garantiza el derecho a la vivienda.</w:t>
      </w:r>
    </w:p>
    <w:p>
      <w:pPr>
        <w:pStyle w:val="[Normal]"/>
        <w:spacing w:line="360" w:lineRule="auto"/>
        <w:ind w:firstLine="1134"/>
        <w:jc w:val="both"/>
        <w:rPr>
          <w:lang w:val="es-AR" w:eastAsia="es-AR" w:bidi="es-AR"/>
        </w:rPr>
      </w:pPr>
      <w:r>
        <w:rPr>
          <w:lang w:val="es-AR" w:eastAsia="es-AR" w:bidi="es-AR"/>
        </w:rPr>
        <w:t xml:space="preserve">Y por otra parte  tenemos la Ley nacional 14.394 de bien de familia (art. 34 y sgtes), normativizado hoy en el Código Civil Unificado.</w:t>
      </w:r>
    </w:p>
    <w:p>
      <w:pPr>
        <w:pStyle w:val="[Normal]"/>
        <w:spacing w:line="360" w:lineRule="auto"/>
        <w:ind w:firstLine="1134"/>
        <w:jc w:val="both"/>
        <w:rPr>
          <w:lang w:val="es-AR" w:eastAsia="es-AR" w:bidi="es-AR"/>
        </w:rPr>
      </w:pPr>
      <w:r>
        <w:rPr>
          <w:lang w:val="es-AR" w:eastAsia="es-AR" w:bidi="es-AR"/>
        </w:rPr>
        <w:t xml:space="preserve">Lo cierto es que la Corte Nacional ya resolvió esta disputa entre derechos en el caso "Tomassini" del 19 de marzo de 2002 declarando la inconstitucionalidad del art. 58 in fine de la Constitución de la Provincia de Córdoba y su ley reglamentaria 8067 que aborda la temática de modo similar a la ley provincial 14.432, teniendo como fundamento que estas normas invaden las facultades expresamente conferidas al Congreso Nacional por el art. 75 inc 12 de la Constitución nacional en tanto no se trata de norma de seguridad social sino de derecho de fondo regulada ya por la ley 14.394, posición ratificada en los fallos "Banco Nación c. Martín Miguel " y "Romero Carlos c. Amdrés Lema" de los años 2004 y 2009 respectivamente.</w:t>
      </w:r>
    </w:p>
    <w:p>
      <w:pPr>
        <w:pStyle w:val="[Normal]"/>
        <w:spacing w:line="360" w:lineRule="auto"/>
        <w:ind w:firstLine="1134"/>
        <w:jc w:val="both"/>
        <w:rPr>
          <w:lang w:val="es-AR" w:eastAsia="es-AR" w:bidi="es-AR"/>
        </w:rPr>
      </w:pPr>
      <w:r>
        <w:rPr>
          <w:lang w:val="es-AR" w:eastAsia="es-AR" w:bidi="es-AR"/>
        </w:rPr>
        <w:t xml:space="preserve">De lo que se sigue que en el esquema constitucional argentino, habiendo delegado las provincias ciertas facultades al Estado Nacional por principio seria éste y no aquellas quien debe ejercerlas a través de sus órganos.  Sintetizando que la cuestión aquí planteada se encuentra alcanzada por esa delegación, de tal modo que en la medida que una ley del Congreso Nacional no derogue o modifique la ley 14.394 la inembargabilidad e inejecutabilidad de la vivienda familiar ha de estar enmarcada en esas prescripciones.</w:t>
      </w:r>
    </w:p>
    <w:p>
      <w:pPr>
        <w:pStyle w:val="[Normal]"/>
        <w:spacing w:line="360" w:lineRule="auto"/>
        <w:ind w:firstLine="1134"/>
        <w:jc w:val="both"/>
        <w:rPr>
          <w:lang w:val="es-AR" w:eastAsia="es-AR" w:bidi="es-AR"/>
        </w:rPr>
      </w:pPr>
      <w:r>
        <w:rPr>
          <w:lang w:val="es-AR" w:eastAsia="es-AR" w:bidi="es-AR"/>
        </w:rPr>
        <w:t xml:space="preserve">Ahora bien, este esquema reseñado tenia su logicidad antes de la vigencia del Código Civil Unificado, más al sobrevenir el dictado del mismo  han de adunarse algunas otras consideraciones.</w:t>
      </w:r>
    </w:p>
    <w:p>
      <w:pPr>
        <w:pStyle w:val="[Normal]"/>
        <w:spacing w:line="360" w:lineRule="auto"/>
        <w:ind w:firstLine="1134"/>
        <w:jc w:val="both"/>
        <w:rPr>
          <w:lang w:val="es-AR" w:eastAsia="es-AR" w:bidi="es-AR"/>
        </w:rPr>
      </w:pPr>
      <w:r>
        <w:rPr>
          <w:lang w:val="es-AR" w:eastAsia="es-AR" w:bidi="es-AR"/>
        </w:rPr>
        <w:t xml:space="preserve">Actualmente el art. 244 del Código Civil y Comercial contiene el requisito propio del dominio de inmuebles registrales, exigiendo la inscripción para conferir publicidad frente a terceros (arts. 1184, 2505 y ccs del CCCN y arts. 34, 35, 38 y 42 ley 14.394).</w:t>
      </w:r>
    </w:p>
    <w:p>
      <w:pPr>
        <w:pStyle w:val="[Normal]"/>
        <w:spacing w:line="360" w:lineRule="auto"/>
        <w:ind w:firstLine="1134"/>
        <w:jc w:val="both"/>
        <w:rPr>
          <w:lang w:val="es-AR" w:eastAsia="es-AR" w:bidi="es-AR"/>
        </w:rPr>
      </w:pPr>
      <w:r>
        <w:rPr>
          <w:lang w:val="es-AR" w:eastAsia="es-AR" w:bidi="es-AR"/>
        </w:rPr>
        <w:t xml:space="preserve">Desde aquí el sistema de inscripción voluntaria de familia previsto entonces en el orden nacional no luce ni restrictivo ni irrazonable, siendo entonces la registración una solución que armoniza los derechos de ambas partes y resuelve la dicotomía entre el aseguramiento de la vivienda familiar con el derecho de propiedad de terceros (arts. 14 CN y art. 36 inc 7 Constitución provincial, art. 2 y 244 del CCCN.</w:t>
      </w:r>
    </w:p>
    <w:p>
      <w:pPr>
        <w:pStyle w:val="[Normal]"/>
        <w:spacing w:line="360" w:lineRule="auto"/>
        <w:ind w:firstLine="1134"/>
        <w:jc w:val="both"/>
        <w:rPr>
          <w:lang w:val="es-AR" w:eastAsia="es-AR" w:bidi="es-AR"/>
        </w:rPr>
      </w:pPr>
      <w:r>
        <w:rPr>
          <w:lang w:val="es-AR" w:eastAsia="es-AR" w:bidi="es-AR"/>
        </w:rPr>
        <w:t xml:space="preserve">La necesidad de inscripción para su oponibilidad a terceros es indispensable, ya que al tratarse de una limitación al derecho de dominio del constituyente cuyo efecto principal es tornarlo no susceptible de ejecución por deudas posteriores a su inscripción, es lógico que esa alteración al patrimonio como garantía común a los acreedores, en materia de un bien inmueble, sea inscripta en el Registro de la Propiedad para poder ser opuesta a los mismos dado que estos son terceros interesados.</w:t>
      </w:r>
    </w:p>
    <w:p>
      <w:pPr>
        <w:pStyle w:val="[Normal]"/>
        <w:spacing w:line="360" w:lineRule="auto"/>
        <w:ind w:firstLine="1134"/>
        <w:jc w:val="both"/>
        <w:rPr>
          <w:lang w:val="es-AR" w:eastAsia="es-AR" w:bidi="es-AR"/>
        </w:rPr>
      </w:pPr>
      <w:r>
        <w:rPr>
          <w:lang w:val="es-AR" w:eastAsia="es-AR" w:bidi="es-AR"/>
        </w:rPr>
        <w:t xml:space="preserve">La Corte Suprema de Justicia de la Nación confirmó una sentencia que había declarado la inconstitucionalidad de una ley de la provincia de Buenos Aires que dispone la inembargabilidad de la vivienda, aunque no esté inscripta en el registro que a tal efecto establece la legislación nacional.</w:t>
      </w:r>
    </w:p>
    <w:p>
      <w:pPr>
        <w:pStyle w:val="[Normal]"/>
        <w:spacing w:line="360" w:lineRule="auto"/>
        <w:ind w:firstLine="1134"/>
        <w:jc w:val="both"/>
        <w:rPr>
          <w:lang w:val="es-AR" w:eastAsia="es-AR" w:bidi="es-AR"/>
        </w:rPr>
      </w:pPr>
      <w:r>
        <w:rPr>
          <w:lang w:val="es-AR" w:eastAsia="es-AR" w:bidi="es-AR"/>
        </w:rPr>
        <w:t xml:space="preserve">En la causa 'Raskovsky, Luis Ernesto c/ Perrone, Gabriela Alejandra s/ ejecutivo', el Máximo Tribunal, con la firma de Horacio Rosatti, Carlos Rosenkrantz y Ricardo Lorenzetti-, declaró mal concedido un recurso extraordinario, presentado contra una sentencia que había declarado la inconstitucionalidad de la Ley 14.432 de la Provincia de Buenos Aires y ratificó que una provincia no puede establecer excepciones a los embargos y ejecuciones sin respetar la normativa nacional, que exige la inscripción del bien para otorgarle protección.</w:t>
      </w:r>
    </w:p>
    <w:p>
      <w:pPr>
        <w:pStyle w:val="[Normal]"/>
        <w:spacing w:line="360" w:lineRule="auto"/>
        <w:ind w:firstLine="1134"/>
        <w:jc w:val="both"/>
        <w:rPr>
          <w:lang w:val="es-AR" w:eastAsia="es-AR" w:bidi="es-AR"/>
        </w:rPr>
      </w:pPr>
      <w:r>
        <w:rPr>
          <w:lang w:val="es-AR" w:eastAsia="es-AR" w:bidi="es-AR"/>
        </w:rPr>
        <w:t xml:space="preserve">En ese sentido, sostuvo que es competencia del Congreso Nacional determinar qué bienes pueden ser embargados.</w:t>
      </w:r>
    </w:p>
    <w:p>
      <w:pPr>
        <w:pStyle w:val="[Normal]"/>
        <w:spacing w:line="360" w:lineRule="auto"/>
        <w:ind w:firstLine="1134"/>
        <w:jc w:val="both"/>
        <w:rPr>
          <w:i/>
          <w:lang w:val="es-AR" w:eastAsia="es-AR" w:bidi="es-AR"/>
        </w:rPr>
      </w:pPr>
      <w:r>
        <w:rPr>
          <w:i/>
          <w:lang w:val="es-AR" w:eastAsia="es-AR" w:bidi="es-AR"/>
        </w:rPr>
        <w:t xml:space="preserve">“Al atribuir la Constitución al Congreso la facultad de dictar el Código Civil, ha querido poner en sus manos lo referente a la organización de la familia, a los derechos reales, a las sucesiones, a las obligaciones y a los contratos, es decir, a todo lo que constituye el derecho común de los particulares considerados en el aspecto de sus relaciones privadas”, destacaron.</w:t>
      </w:r>
    </w:p>
    <w:p>
      <w:pPr>
        <w:pStyle w:val="[Normal]"/>
        <w:spacing w:line="360" w:lineRule="auto"/>
        <w:ind w:firstLine="1134"/>
        <w:jc w:val="both"/>
        <w:rPr>
          <w:i/>
          <w:lang w:val="es-AR" w:eastAsia="es-AR" w:bidi="es-AR"/>
        </w:rPr>
      </w:pPr>
      <w:r>
        <w:rPr>
          <w:i/>
          <w:lang w:val="es-AR" w:eastAsia="es-AR" w:bidi="es-AR"/>
        </w:rPr>
        <w:t xml:space="preserve">A su vez, señalaron que, “de acuerdo con el artículo 126 de la Constitución, las provincias no ejercen el poder delegado a la Nación y no les está permitido dictar los códigos después de haberlos sancionado el Congreso, precepto que no deja lugar a duda en cuanto a que todas las leyes que estatuyen sobre las relaciones privadas de los habitantes de la República, sean personas físicas o jurídicas, al ser del dominio de la legislación civil y comercial, están comprendidas entre las facultades de dictar los códigos fundamentales que la Constitución atribuye exclusivamente al Congreso”.</w:t>
      </w:r>
    </w:p>
    <w:p>
      <w:pPr>
        <w:pStyle w:val="[Normal]"/>
        <w:spacing w:line="360" w:lineRule="auto"/>
        <w:ind w:firstLine="1134"/>
        <w:jc w:val="both"/>
        <w:rPr>
          <w:i/>
          <w:lang w:val="es-AR" w:eastAsia="es-AR" w:bidi="es-AR"/>
        </w:rPr>
      </w:pPr>
      <w:r>
        <w:rPr>
          <w:i/>
          <w:lang w:val="es-AR" w:eastAsia="es-AR" w:bidi="es-AR"/>
        </w:rPr>
        <w:t xml:space="preserve">Sobre el caso particular, sostuvieron que “lo expuesto no se ha visto alterado por el régimen de protección de la vivienda instituido en el Código Civil y Comercial de la Nación (artículos 244 a 256)”.</w:t>
      </w:r>
    </w:p>
    <w:p>
      <w:pPr>
        <w:pStyle w:val="[Normal]"/>
        <w:spacing w:line="360" w:lineRule="auto"/>
        <w:ind w:firstLine="1134"/>
        <w:jc w:val="both"/>
        <w:rPr>
          <w:i/>
          <w:lang w:val="es-AR" w:eastAsia="es-AR" w:bidi="es-AR"/>
        </w:rPr>
      </w:pPr>
      <w:r>
        <w:rPr>
          <w:i/>
          <w:lang w:val="es-AR" w:eastAsia="es-AR" w:bidi="es-AR"/>
        </w:rPr>
        <w:t xml:space="preserve">En ese punto, señalaron que “no resulta razonable interpretar que la alusión a “otras disposiciones legales”, “leyes especiales” u “otras leyes”, que el legislador nacional hizo en las referidas normas del Código Civil y Comercial de la Nación, importa una devolución implícita a las provincias de la facultad para regular las relaciones entre acreedor y deudor que estas delegaron al Congreso de la Nación (artículo 75, inciso 12, de la Constitución Nacional)”.</w:t>
      </w:r>
    </w:p>
    <w:p>
      <w:pPr>
        <w:pStyle w:val="[Normal]"/>
        <w:spacing w:line="360" w:lineRule="auto"/>
        <w:ind w:firstLine="1134"/>
        <w:jc w:val="both"/>
        <w:rPr>
          <w:i/>
          <w:lang w:val="es-AR" w:eastAsia="es-AR" w:bidi="es-AR"/>
        </w:rPr>
      </w:pPr>
      <w:r>
        <w:rPr>
          <w:i/>
          <w:lang w:val="es-AR" w:eastAsia="es-AR" w:bidi="es-AR"/>
        </w:rPr>
        <w:t xml:space="preserve">En efecto, añadieron que, cuando el legislador ha querido remitir en el Código Civil y Comercial de la Nación a leyes provinciales, lo ha hecho en forma expresa (artículos 2532 y Anexo II, apartado 1.2 de la ley 26.994).</w:t>
      </w:r>
    </w:p>
    <w:p>
      <w:pPr>
        <w:pStyle w:val="[Normal]"/>
        <w:spacing w:line="360" w:lineRule="auto"/>
        <w:ind w:firstLine="1134"/>
        <w:jc w:val="both"/>
        <w:rPr>
          <w:i/>
          <w:lang w:val="es-AR" w:eastAsia="es-AR" w:bidi="es-AR"/>
        </w:rPr>
      </w:pPr>
      <w:r>
        <w:rPr>
          <w:i/>
          <w:lang w:val="es-AR" w:eastAsia="es-AR" w:bidi="es-AR"/>
        </w:rPr>
        <w:t xml:space="preserve">“No cabe presumir, entonces, que al omitir toda referencia a normas locales en los artículos 242, 244 y 744 del citado código, el legislador haya incurrido en una omisión o inconsecuencia que, según sostiene esta Corte, no cabe atribuirle por vía interpretativa”, concluyeron.</w:t>
      </w:r>
    </w:p>
    <w:p>
      <w:pPr>
        <w:pStyle w:val="[Normal]"/>
        <w:spacing w:line="360" w:lineRule="auto"/>
        <w:ind w:firstLine="1134"/>
        <w:jc w:val="both"/>
        <w:rPr>
          <w:i/>
          <w:lang w:val="es-AR" w:eastAsia="es-AR" w:bidi="es-AR"/>
        </w:rPr>
      </w:pPr>
      <w:r>
        <w:rPr>
          <w:i/>
          <w:lang w:val="es-AR" w:eastAsia="es-AR" w:bidi="es-AR"/>
        </w:rPr>
        <w:t xml:space="preserve">Los magistrados coincidieron al señalar que la cuestión ya había sido debatida en casos como 'Banco de Suquía' y 'Romero' en los que se declaró la inconstitucionalidad del artículo 58 de la Constitución de Córdoba y de la ley local 8067 que, al igual que la citada ley 14.432, habían dispuesto la inembargabilidad de la vivienda sin requerir su inscripción en el registro.</w:t>
      </w:r>
    </w:p>
    <w:p>
      <w:pPr>
        <w:pStyle w:val="[Normal]"/>
        <w:spacing w:line="360" w:lineRule="auto"/>
        <w:ind w:firstLine="1134"/>
        <w:jc w:val="both"/>
        <w:rPr>
          <w:lang w:val="es-AR" w:eastAsia="es-AR" w:bidi="es-AR"/>
        </w:rPr>
      </w:pPr>
      <w:r>
        <w:rPr>
          <w:lang w:val="es-AR" w:eastAsia="es-AR" w:bidi="es-AR"/>
        </w:rPr>
        <w:t xml:space="preserve">En cuanto a la procedencia de oficio de la declaración de inconstitucionalidad, la cuestión ha quedado definitivamente zanjada en nuestro sistema a partir de los precedentes "Mill de Pereyra" (Fallos: 324:3219) y "Banco Comercial de Finanzas" (Fallos: 327:3117) de la Corte Suprema de Justicia de la Nación, en los que se admitió dicha facultad-deber cuando la incompatibilidad con la Constitución es manifiesta. La Suprema Corte de la Provincia de Buenos Aires ha seguido ese criterio (conf. SCBA, causas B. 63.653, entre otras), aunque con carácter excepcionalísimo.</w:t>
      </w:r>
    </w:p>
    <w:p>
      <w:pPr>
        <w:pStyle w:val="[Normal]"/>
        <w:spacing w:line="360" w:lineRule="auto"/>
        <w:ind w:firstLine="1134"/>
        <w:jc w:val="both"/>
        <w:rPr>
          <w:lang w:val="es-AR" w:eastAsia="es-AR" w:bidi="es-AR"/>
        </w:rPr>
      </w:pPr>
      <w:r>
        <w:rPr>
          <w:lang w:val="es-AR" w:eastAsia="es-AR" w:bidi="es-AR"/>
        </w:rPr>
        <w:t xml:space="preserve">No obstante lo anterior, tiene razón la apelante en señalar que la declaración de inconstitucionalidad de oficio no releva al juez del deber de respetar el principio de contradicción y el derecho de defensa. El control de constitucionalidad ejercido sin petición de parte no puede transformarse en un pronunciamiento sorpresivo que prive a los litigantes de la posibilidad de exponer sus razones sobre el punto constitucional comprometido. La doctrina y la jurisprudencia dominante han precisado que, cuando el tribunal advierta una incompatibilidad constitucional que no ha sido invocada, debe correr vista o traslado previo a las partes para resguardar el debido proceso (arts. 18 C.N. y 15 Const. Prov. Bs. As.).</w:t>
      </w:r>
    </w:p>
    <w:p>
      <w:pPr>
        <w:pStyle w:val="[Normal]"/>
        <w:spacing w:line="360" w:lineRule="auto"/>
        <w:ind w:firstLine="1134"/>
        <w:jc w:val="both"/>
        <w:rPr>
          <w:lang w:val="es-AR" w:eastAsia="es-AR" w:bidi="es-AR"/>
        </w:rPr>
      </w:pPr>
      <w:r>
        <w:rPr>
          <w:lang w:val="es-AR" w:eastAsia="es-AR" w:bidi="es-AR"/>
        </w:rPr>
        <w:t xml:space="preserve">Sin embargo, aun cuando se constatara una irregularidad procedimental en este aspecto, corresponde examinar si la omisión ha causado un perjuicio concreto a la parte apelante. En el caso, el ejecutado ha podido articular en este memorial todos los argumentos en defensa de la constitucionalidad de la Ley 14.432, por lo que la nulidad que persigue quedaría purgada por la sustanciación que, en definitiva, tuvo lugar en esta instancia (conf. art. 172 C.P.C.C. en cuanto a los efectos de la nulidad relativa). En consecuencia, la declaración de nulidad solicitada resulta inoficiosa, pues el efecto pretendido -que se escuche a la parte sobre la cuestión constitucional- ha quedado cumplido a través del memorial de agravios y del presente pronunciamiento de Alzada.</w:t>
      </w:r>
    </w:p>
    <w:p>
      <w:pPr>
        <w:pStyle w:val="[Normal]"/>
        <w:spacing w:line="360" w:lineRule="auto"/>
        <w:ind w:firstLine="1134"/>
        <w:jc w:val="both"/>
        <w:rPr>
          <w:lang w:val="es-AR" w:eastAsia="es-AR" w:bidi="es-AR"/>
        </w:rPr>
      </w:pPr>
      <w:r>
        <w:rPr>
          <w:lang w:val="es-AR" w:eastAsia="es-AR" w:bidi="es-AR"/>
        </w:rPr>
        <w:t xml:space="preserve">El apelante denuncia también  que el magistrado de grado omitió considerar el derecho a la vivienda digna tutelado por el art. 14 bis C.N. y el art. 11.1 del Pacto Internacional de Derechos Económicos, Sociales y Culturales, así como los estándares fijados por el Comité DESC en su Observación General N° 4 en materia de seguridad jurídica de la tenencia.</w:t>
      </w:r>
    </w:p>
    <w:p>
      <w:pPr>
        <w:pStyle w:val="[Normal]"/>
        <w:spacing w:line="360" w:lineRule="auto"/>
        <w:ind w:firstLine="1134"/>
        <w:jc w:val="both"/>
        <w:rPr>
          <w:lang w:val="es-AR" w:eastAsia="es-AR" w:bidi="es-AR"/>
        </w:rPr>
      </w:pPr>
      <w:r>
        <w:rPr>
          <w:lang w:val="es-AR" w:eastAsia="es-AR" w:bidi="es-AR"/>
        </w:rPr>
        <w:t xml:space="preserve">Si bien este derecho forma parte de los derechos económicos, sociales y culturales, con jerarquía constitucional en Argentina mediante los tratados internacionales (art. 75 inc. 22) y el art. 14 bis de la Constitución Nacional , también hay que señalar que el derecho  del acreedor está respaldado por el art. 17 de la Constitución Nacional (inviolabilidad de la propiedad) y el principio general de que el patrimonio es la garantía común de los acreedores (art. 242 del Código Civil y Comercial de la Nación - CCyCN).</w:t>
      </w:r>
    </w:p>
    <w:p>
      <w:pPr>
        <w:pStyle w:val="[Normal]"/>
        <w:spacing w:line="360" w:lineRule="auto"/>
        <w:ind w:firstLine="1134"/>
        <w:jc w:val="both"/>
        <w:rPr>
          <w:lang w:val="es-AR" w:eastAsia="es-AR" w:bidi="es-AR"/>
        </w:rPr>
      </w:pPr>
      <w:r>
        <w:rPr>
          <w:lang w:val="es-AR" w:eastAsia="es-AR" w:bidi="es-AR"/>
        </w:rPr>
        <w:t xml:space="preserve">Traigo una cita del Dr. Emilio Ibarlucia que resulta ilustrativo en el punto cuando señala "Con la inembargabilidad de la "vivienda única" ocurre exactamente lo mismo.  Los estados pueden obligarse constitucionalmente a brindar una vivienda digna a todos sus habitantes, o a asegurarles un "techo", para lo cual deberán tomar las previsiones presupuestarias necesarias (recursos, ahorros de gastos en otras áreas del estado, etc), crear organismos al efecto, atribuír planes sociales, otorgar líneas de crédito a largo plazo , fomentar el cooperativismo y mutualismo de la vivienda.  Pero lo que no pueden hacer es pretender el logro de esos fines en desmedro de los legítimos derechos de otros ciudadanos. Impedir que un particular cobre un crédito reconocido judicialmente es imponerle una carga, o una obligación" Impedir, entonces, a un legítimo acreedor embargar y ejecutar un bien del patrimonio de su deudor implica un menoscabo de su derecho de propiedad (surgido de un contrato, de un reconocimiento legal o de una sentencia judicial ) que de ninguna manera pueden las provincias establecer cfr "El deber constitucional acerca de la inembargabilidad de la vivienda única, la Ley Córdoba 2002 p. 1391/1402" autor citado.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el fallo en todas sus partes.</w:t>
      </w:r>
    </w:p>
    <w:p>
      <w:pPr>
        <w:pStyle w:val="[Normal]"/>
        <w:spacing w:line="360" w:lineRule="auto"/>
        <w:ind w:firstLine="1134"/>
        <w:jc w:val="both"/>
        <w:rPr>
          <w:lang w:val="es-AR" w:eastAsia="es-AR" w:bidi="es-AR"/>
        </w:rPr>
      </w:pPr>
      <w:r>
        <w:rPr>
          <w:lang w:val="es-AR" w:eastAsia="es-AR" w:bidi="es-AR"/>
        </w:rPr>
        <w:t xml:space="preserve">Costas de Alzada, al apelante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los de primera instancia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traído, confirmando el fallo en todas sus partes.</w:t>
      </w:r>
    </w:p>
    <w:p>
      <w:pPr>
        <w:pStyle w:val="[Normal]"/>
        <w:spacing w:line="360" w:lineRule="auto"/>
        <w:ind w:firstLine="1134"/>
        <w:jc w:val="both"/>
        <w:rPr>
          <w:lang w:val="es-AR" w:eastAsia="es-AR" w:bidi="es-AR"/>
        </w:rPr>
      </w:pPr>
      <w:r>
        <w:rPr>
          <w:lang w:val="es-AR" w:eastAsia="es-AR" w:bidi="es-AR"/>
        </w:rPr>
        <w:t xml:space="preserve">Costas de Alzada, al apelante devinto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los de primera instancia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20250122765@NOTIFICACIONES.SCBA.GOV.AR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27169115015@NOTIFICACIONES.SCBA.GOV.AR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26/05/2026 10:22:22 -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26/05/2026 10:25:30 -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26/05/2026 11:59:02 -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‰7Y")è&amp;{iRBŠ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235702090006917350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26/05/2026 11:59:27 hs. bajo el número RS-85-2026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