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2129-14</w:t>
      </w:r>
      <w:r>
        <w:rPr>
          <w:lang w:val="es-AR" w:eastAsia="es-AR" w:bidi="es-AR"/>
        </w:rPr>
        <w:t xml:space="preserve"> caratulada </w:t>
      </w:r>
      <w:r>
        <w:rPr>
          <w:b/>
          <w:lang w:val="es-AR" w:eastAsia="es-AR" w:bidi="es-AR"/>
        </w:rPr>
        <w:t xml:space="preserve">"</w:t>
      </w:r>
      <w:r>
        <w:rPr>
          <w:b/>
          <w:color w:val="000000"/>
          <w:lang w:val="es-AR" w:eastAsia="es-AR" w:bidi="es-AR"/>
        </w:rPr>
        <w:t xml:space="preserve">USUARIOS Y CONSUMIDORES UNIDOS C/ AMX S.A. Y OTRO/A S/ DAÑOS Y PERJ. INCUMP. CONTRACTUAL (EXC. ESTADO)</w:t>
      </w:r>
      <w:r>
        <w:rPr>
          <w:b/>
          <w:lang w:val="es-AR" w:eastAsia="es-AR" w:bidi="es-AR"/>
        </w:rPr>
        <w:t xml:space="preserve">"</w:t>
      </w:r>
      <w:r>
        <w:rPr>
          <w:lang w:val="es-AR" w:eastAsia="es-AR" w:bidi="es-AR"/>
        </w:rPr>
        <w:t xml:space="preserve">, Expte. </w:t>
      </w:r>
      <w:r>
        <w:rPr>
          <w:color w:val="000000"/>
          <w:lang w:val="es-AR" w:eastAsia="es-AR" w:bidi="es-AR"/>
        </w:rPr>
        <w:t xml:space="preserve">65.109 </w:t>
      </w:r>
      <w:r>
        <w:rPr>
          <w:lang w:val="es-AR" w:eastAsia="es-AR" w:bidi="es-AR"/>
        </w:rPr>
        <w:t xml:space="preserve">del Juzgado Civil y Comercial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En el pronunciamiento que fuera recurrido el señor Juez de la anterior sede rechazó la demanda incoada por la Asociación Civil Usuarios y Consumidores Unidos contra AMX Argentina S.A. Aplicó las costas a la parte actora, que resulta vencida. Difirió la regulación de honorarios de los letrados intervinientes y del perito</w:t>
      </w:r>
    </w:p>
    <w:p>
      <w:pPr>
        <w:pStyle w:val="[Normal]"/>
        <w:spacing w:line="360" w:lineRule="auto"/>
        <w:ind w:firstLine="1134"/>
        <w:jc w:val="both"/>
        <w:rPr>
          <w:lang w:val="es-AR" w:eastAsia="es-AR" w:bidi="es-AR"/>
        </w:rPr>
      </w:pPr>
      <w:r>
        <w:rPr>
          <w:lang w:val="es-AR" w:eastAsia="es-AR" w:bidi="es-AR"/>
        </w:rPr>
        <w:t xml:space="preserve">Se alzan  contra lo decidido los apoderados de la parte actora en fecha 31/12/2025, recurso concedido libremente el 4/02/2026, expresando sus agravios la parte actora el 4/3/2026, es corrido el traslado pertinente y contestado por la contraparte el 20/3/2026, llamándose autos para sentencia el 26/3/2026, providencia que estando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En sustento de su crítica recursiva, la parte actora expone los siguientes puntos de agravio:</w:t>
      </w:r>
    </w:p>
    <w:p>
      <w:pPr>
        <w:pStyle w:val="[Normal]"/>
        <w:spacing w:line="360" w:lineRule="auto"/>
        <w:ind w:firstLine="1134"/>
        <w:jc w:val="both"/>
        <w:rPr>
          <w:lang w:val="es-AR" w:eastAsia="es-AR" w:bidi="es-AR"/>
        </w:rPr>
      </w:pPr>
      <w:r>
        <w:rPr>
          <w:lang w:val="es-AR" w:eastAsia="es-AR" w:bidi="es-AR"/>
        </w:rPr>
        <w:t xml:space="preserve">1) Absurda valoración de la prueba pericial sobre la supuesta compensación integral a los usuarios. 	</w:t>
        <w:br w:type="textWrapping"/>
      </w:r>
      <w:r>
        <w:rPr>
          <w:lang w:val="es-AR" w:eastAsia="es-AR" w:bidi="es-AR"/>
        </w:rPr>
        <w:t xml:space="preserve"> 	La actora cuestiona que el juez haya tenido por acreditado que AMX compensó a sus clientes con base en la pericia contable. Sostiene que ello contradice la pericia informática, según la cual la demandada no disponía de registros sobre qué usuarios recibieron bonificaciones y por qué montos. También afirma que la pericia contable sólo habría verificado una muestra mínima de casos, sin acreditar una compensación generalizada a todo el universo afectado. Dentro de este agravio, la recurrente agrega que la compensación invocada sería irrisoria, en especial respecto de usuarios prepagos, y que el fallo resulta incompatible con el régimen de responsabilidad objetiva en materia de consumo, porque reconoce relación de consumo e interrupción del servicio, pero niega la consecuencia resarcitoria.</w:t>
      </w:r>
    </w:p>
    <w:p>
      <w:pPr>
        <w:pStyle w:val="[Normal]"/>
        <w:spacing w:line="360" w:lineRule="auto"/>
        <w:ind w:firstLine="1134"/>
        <w:jc w:val="both"/>
        <w:rPr>
          <w:lang w:val="es-AR" w:eastAsia="es-AR" w:bidi="es-AR"/>
        </w:rPr>
      </w:pPr>
      <w:r>
        <w:rPr>
          <w:lang w:val="es-AR" w:eastAsia="es-AR" w:bidi="es-AR"/>
        </w:rPr>
        <w:t xml:space="preserve">2) Rechazo de la legitimación colectiva en violación de la doctrina de la CSJN, la SCBA y precedentes de la Cámara de San Nicolás.</w:t>
      </w:r>
    </w:p>
    <w:p>
      <w:pPr>
        <w:pStyle w:val="[Normal]"/>
        <w:spacing w:line="360" w:lineRule="auto"/>
        <w:ind w:firstLine="1134"/>
        <w:jc w:val="both"/>
        <w:rPr>
          <w:lang w:val="es-AR" w:eastAsia="es-AR" w:bidi="es-AR"/>
        </w:rPr>
      </w:pPr>
      <w:r>
        <w:rPr>
          <w:lang w:val="es-AR" w:eastAsia="es-AR" w:bidi="es-AR"/>
        </w:rPr>
        <w:t xml:space="preserve">La actora se agravia de que el juez haya considerado que el daño patrimonial y el daño moral, por ser individuales, no podían reclamarse colectivamente. Sostiene que ese razonamiento desconoce la categoría de derechos de incidencia colectiva referentes a intereses individuales homogéneos y exige indebidamente una carta poder individual de cada usuario, lo que -según la recurrente- vaciaría de contenido la tutela colectiva prevista en el art. 43 de la Constitución Nacional y en la Ley de Defensa del Consumidor.</w:t>
      </w:r>
    </w:p>
    <w:p>
      <w:pPr>
        <w:pStyle w:val="[Normal]"/>
        <w:spacing w:line="360" w:lineRule="auto"/>
        <w:ind w:firstLine="1134"/>
        <w:jc w:val="both"/>
        <w:rPr>
          <w:lang w:val="es-AR" w:eastAsia="es-AR" w:bidi="es-AR"/>
        </w:rPr>
      </w:pPr>
      <w:r>
        <w:rPr>
          <w:lang w:val="es-AR" w:eastAsia="es-AR" w:bidi="es-AR"/>
        </w:rPr>
        <w:t xml:space="preserve">También plantea que el fallo confunde homogeneidad con identidad: para la actora, las diferencias entre usuarios -tipo de plan, modalidad prepaga o postpaga, monto del abono- no impiden resolver colectivamente la responsabilidad de AMX, quedando la cuantificación para una etapa posterior.</w:t>
      </w:r>
    </w:p>
    <w:p>
      <w:pPr>
        <w:pStyle w:val="[Normal]"/>
        <w:spacing w:line="360" w:lineRule="auto"/>
        <w:ind w:firstLine="1134"/>
        <w:jc w:val="both"/>
        <w:rPr>
          <w:lang w:val="es-AR" w:eastAsia="es-AR" w:bidi="es-AR"/>
        </w:rPr>
      </w:pPr>
      <w:r>
        <w:rPr>
          <w:lang w:val="es-AR" w:eastAsia="es-AR" w:bidi="es-AR"/>
        </w:rPr>
        <w:t xml:space="preserve">3) Rechazo indebido del daño punitivo fundado en premisas fácticas falsas y omisión de valorar la conducta de la demandada.</w:t>
      </w:r>
    </w:p>
    <w:p>
      <w:pPr>
        <w:pStyle w:val="[Normal]"/>
        <w:spacing w:line="360" w:lineRule="auto"/>
        <w:ind w:firstLine="1134"/>
        <w:jc w:val="both"/>
        <w:rPr>
          <w:lang w:val="es-AR" w:eastAsia="es-AR" w:bidi="es-AR"/>
        </w:rPr>
      </w:pPr>
      <w:r>
        <w:rPr>
          <w:lang w:val="es-AR" w:eastAsia="es-AR" w:bidi="es-AR"/>
        </w:rPr>
        <w:t xml:space="preserve">La recurrente impugna el rechazo del daño punitivo. Afirma que el juez partió de dos premisas falsas: que AMX informó debidamente a sus clientes y que adoptó medidas suficientes para solucionar el problema. Según la actora, la prueba demostraría lo contrario y revelaría una conducta grave de la empresa. </w:t>
      </w:r>
    </w:p>
    <w:p>
      <w:pPr>
        <w:pStyle w:val="[Normal]"/>
        <w:spacing w:line="360" w:lineRule="auto"/>
        <w:ind w:firstLine="1134"/>
        <w:jc w:val="both"/>
        <w:rPr>
          <w:lang w:val="es-AR" w:eastAsia="es-AR" w:bidi="es-AR"/>
        </w:rPr>
      </w:pPr>
      <w:r>
        <w:rPr>
          <w:lang w:val="es-AR" w:eastAsia="es-AR" w:bidi="es-AR"/>
        </w:rPr>
        <w:t xml:space="preserve">En este punto, la actora enfatiza la función sancionatoria, disuasiva y correctiva del daño punitivo. Sostiene que la conducta atribuida a AMX habría respondido a un cálculo económico: incumplir, no planificar una alternativa técnica y luego ofrecer compensaciones mínimas resultaría menos costoso que cumplir adecuadamente.</w:t>
      </w:r>
    </w:p>
    <w:p>
      <w:pPr>
        <w:pStyle w:val="[Normal]"/>
        <w:spacing w:line="360" w:lineRule="auto"/>
        <w:ind w:firstLine="1134"/>
        <w:jc w:val="both"/>
        <w:rPr>
          <w:lang w:val="es-AR" w:eastAsia="es-AR" w:bidi="es-AR"/>
        </w:rPr>
      </w:pPr>
      <w:r>
        <w:rPr>
          <w:lang w:val="es-AR" w:eastAsia="es-AR" w:bidi="es-AR"/>
        </w:rPr>
        <w:t xml:space="preserve">4) Absurdo por contradicción interna entre la declaración de abusividad de las cláusulas limitativas y el rechazo de la indemnización.</w:t>
      </w:r>
    </w:p>
    <w:p>
      <w:pPr>
        <w:pStyle w:val="[Normal]"/>
        <w:spacing w:line="360" w:lineRule="auto"/>
        <w:ind w:firstLine="1134"/>
        <w:jc w:val="both"/>
        <w:rPr>
          <w:lang w:val="es-AR" w:eastAsia="es-AR" w:bidi="es-AR"/>
        </w:rPr>
      </w:pPr>
      <w:r>
        <w:rPr>
          <w:lang w:val="es-AR" w:eastAsia="es-AR" w:bidi="es-AR"/>
        </w:rPr>
        <w:t xml:space="preserve">La actora sostiene que la sentencia es internamente contradictoria porque, por un lado, declaró abusivas e inoponibles las cláusulas contractuales limitativas de responsabilidad y, por otro, validó como suficiente la compensación que AMX habría otorgado conforme a la Solicitud de Servicio. Para la recurrente, si el límite contractual era abusivo, no podía ser utilizado luego como parámetro suficiente de reparación.</w:t>
      </w:r>
    </w:p>
    <w:p>
      <w:pPr>
        <w:pStyle w:val="[Normal]"/>
        <w:spacing w:line="360" w:lineRule="auto"/>
        <w:ind w:firstLine="1134"/>
        <w:jc w:val="both"/>
        <w:rPr>
          <w:lang w:val="es-AR" w:eastAsia="es-AR" w:bidi="es-AR"/>
        </w:rPr>
      </w:pPr>
      <w:r>
        <w:rPr>
          <w:lang w:val="es-AR" w:eastAsia="es-AR" w:bidi="es-AR"/>
        </w:rPr>
        <w:t xml:space="preserve">Agrega que el fallo reconoce los presupuestos de la responsabilidad -relación de consumo, interrupción del servicio, nulidad de cláusulas limitativas y obligación de resultado- pero niega la reparación, lo que califica como una incompatibilidad lógico-jurídica y un supuesto de arbitrariedad.</w:t>
      </w:r>
    </w:p>
    <w:p>
      <w:pPr>
        <w:pStyle w:val="[Normal]"/>
        <w:spacing w:line="360" w:lineRule="auto"/>
        <w:ind w:firstLine="1134"/>
        <w:jc w:val="both"/>
        <w:rPr>
          <w:lang w:val="es-AR" w:eastAsia="es-AR" w:bidi="es-AR"/>
        </w:rPr>
      </w:pPr>
      <w:r>
        <w:rPr>
          <w:lang w:val="es-AR" w:eastAsia="es-AR" w:bidi="es-AR"/>
        </w:rPr>
        <w:t xml:space="preserve">5) Rechazo indebido del daño moral colectivo.</w:t>
      </w:r>
    </w:p>
    <w:p>
      <w:pPr>
        <w:pStyle w:val="[Normal]"/>
        <w:spacing w:line="360" w:lineRule="auto"/>
        <w:ind w:firstLine="1134"/>
        <w:jc w:val="both"/>
        <w:rPr>
          <w:lang w:val="es-AR" w:eastAsia="es-AR" w:bidi="es-AR"/>
        </w:rPr>
      </w:pPr>
      <w:r>
        <w:rPr>
          <w:lang w:val="es-AR" w:eastAsia="es-AR" w:bidi="es-AR"/>
        </w:rPr>
        <w:t xml:space="preserve">La actora cuestiona el rechazo del daño moral individual homogéneo o colectivo. Reconoce que en precedentes anteriores de la Cámara de San Nicolás se rechazó este rubro, pero sostiene que el caso de Colón presentaría circunstancias cualitativamente distintas: duración del corte, coincidencia con fiestas de fin de año, causa imputable a la empresa, ocultamiento o información evasiva y afectación de la posibilidad de acceder a servicios de emergencia.</w:t>
      </w:r>
    </w:p>
    <w:p>
      <w:pPr>
        <w:pStyle w:val="[Normal]"/>
        <w:spacing w:line="360" w:lineRule="auto"/>
        <w:ind w:firstLine="1134"/>
        <w:jc w:val="both"/>
        <w:rPr>
          <w:lang w:val="es-AR" w:eastAsia="es-AR" w:bidi="es-AR"/>
        </w:rPr>
      </w:pPr>
      <w:r>
        <w:rPr>
          <w:lang w:val="es-AR" w:eastAsia="es-AR" w:bidi="es-AR"/>
        </w:rPr>
        <w:t xml:space="preserve">Además, remarca que la sentencia de primera instancia no habría tratado la procedencia sustancial del daño moral, sino que lo rechazó por falta de legitimación colectiva; por ello, pide que, revocado ese criterio, se analice el rubro en su faz sustancial.</w:t>
      </w:r>
    </w:p>
    <w:p>
      <w:pPr>
        <w:pStyle w:val="[Normal]"/>
        <w:spacing w:line="360" w:lineRule="auto"/>
        <w:ind w:firstLine="1134"/>
        <w:jc w:val="both"/>
        <w:rPr>
          <w:lang w:val="es-AR" w:eastAsia="es-AR" w:bidi="es-AR"/>
        </w:rPr>
      </w:pPr>
      <w:r>
        <w:rPr>
          <w:lang w:val="es-AR" w:eastAsia="es-AR" w:bidi="es-AR"/>
        </w:rPr>
        <w:t xml:space="preserve">6) Imposición de costas a la asociación de consumidores.</w:t>
      </w:r>
    </w:p>
    <w:p>
      <w:pPr>
        <w:pStyle w:val="[Normal]"/>
        <w:spacing w:line="360" w:lineRule="auto"/>
        <w:ind w:firstLine="1134"/>
        <w:jc w:val="both"/>
        <w:rPr>
          <w:lang w:val="es-AR" w:eastAsia="es-AR" w:bidi="es-AR"/>
        </w:rPr>
      </w:pPr>
      <w:r>
        <w:rPr>
          <w:lang w:val="es-AR" w:eastAsia="es-AR" w:bidi="es-AR"/>
        </w:rPr>
        <w:t xml:space="preserve">Finalmente, la actora se agravia de que las costas hayan sido impuestas a UCU por resultar vencida. Sostiene que ello vulnera el art. 55 de la Ley 24.240, que reconoce el beneficio de justicia gratuita para acciones judiciales iniciadas en defensa de intereses de incidencia colectiva. Según la recurrente, dicho beneficio comprende la exención de costas salvo temeridad o malicia, extremos que no habrían sido alegados ni acreditados.</w:t>
      </w:r>
    </w:p>
    <w:p>
      <w:pPr>
        <w:pStyle w:val="[Normal]"/>
        <w:spacing w:line="360" w:lineRule="auto"/>
        <w:ind w:firstLine="1134"/>
        <w:jc w:val="both"/>
        <w:rPr>
          <w:lang w:val="es-AR" w:eastAsia="es-AR" w:bidi="es-AR"/>
        </w:rPr>
      </w:pPr>
      <w:r>
        <w:rPr>
          <w:lang w:val="es-AR" w:eastAsia="es-AR" w:bidi="es-AR"/>
        </w:rPr>
        <w:t xml:space="preserve">A su turno, la parte demandada comienza solicitando que se declare desierto el recurso de apelación de la actora, con fundamento en los arts. 260 y 261 del CPCCBA. Sostiene que la expresión de agravios no contiene una crítica concreta y razonada de la sentencia, sino una mera discrepancia con lo resuelto insuficiente para habilitar la revisión de Alzada.</w:t>
      </w:r>
    </w:p>
    <w:p>
      <w:pPr>
        <w:pStyle w:val="[Normal]"/>
        <w:spacing w:line="360" w:lineRule="auto"/>
        <w:ind w:firstLine="1134"/>
        <w:jc w:val="both"/>
        <w:rPr>
          <w:lang w:val="es-AR" w:eastAsia="es-AR" w:bidi="es-AR"/>
        </w:rPr>
      </w:pPr>
      <w:r>
        <w:rPr>
          <w:lang w:val="es-AR" w:eastAsia="es-AR" w:bidi="es-AR"/>
        </w:rPr>
        <w:t xml:space="preserve">Subsidiariamente, pide el rechazo íntegro de la apelación y la confirmación de la sentencia. Antes de responder los agravios, rechaza que los precedentes de la Cámara de San Nicolás invocados por UCU resulten trasladables al caso. Aunque reconoce que el reclamo actoral es idéntico, afirma que difieren las circunstancias fácticas, el período de interrupción, la localidad afectada, las defensas articuladas y la prueba producida; además, señala que uno de esos precedentes no se encontraría firme.</w:t>
      </w:r>
    </w:p>
    <w:p>
      <w:pPr>
        <w:pStyle w:val="[Normal]"/>
        <w:spacing w:line="360" w:lineRule="auto"/>
        <w:ind w:firstLine="1134"/>
        <w:jc w:val="both"/>
        <w:rPr>
          <w:lang w:val="es-AR" w:eastAsia="es-AR" w:bidi="es-AR"/>
        </w:rPr>
      </w:pPr>
      <w:r>
        <w:rPr>
          <w:lang w:val="es-AR" w:eastAsia="es-AR" w:bidi="es-AR"/>
        </w:rPr>
        <w:t xml:space="preserve">En cuanto al daño patrimonial, AMX sostiene que la compensación fue debidamente acreditada. Afirma que a los clientes postpagos se les reintegró el monto proporcional del abono correspondiente al período 27/12/2012 al 07/01/2013, mediante facturas con el concepto </w:t>
      </w:r>
      <w:r>
        <w:rPr>
          <w:i/>
          <w:lang w:val="es-AR" w:eastAsia="es-AR" w:bidi="es-AR"/>
        </w:rPr>
        <w:t xml:space="preserve">“corrección abono mensual”</w:t>
      </w:r>
      <w:r>
        <w:rPr>
          <w:lang w:val="es-AR" w:eastAsia="es-AR" w:bidi="es-AR"/>
        </w:rPr>
        <w:t xml:space="preserve"> y listados cuya validación fue objeto de la pericia contable. Respecto de los clientes prepagos, sostiene que se les acreditó la suma de $10, lo que habría sido demostrado mediante impresiones de pantalla y listados también sometidos a validación pericial.</w:t>
      </w:r>
    </w:p>
    <w:p>
      <w:pPr>
        <w:pStyle w:val="[Normal]"/>
        <w:spacing w:line="360" w:lineRule="auto"/>
        <w:ind w:firstLine="1134"/>
        <w:jc w:val="both"/>
        <w:rPr>
          <w:lang w:val="es-AR" w:eastAsia="es-AR" w:bidi="es-AR"/>
        </w:rPr>
      </w:pPr>
      <w:r>
        <w:rPr>
          <w:lang w:val="es-AR" w:eastAsia="es-AR" w:bidi="es-AR"/>
        </w:rPr>
        <w:t xml:space="preserve">Frente a la crítica de la actora fundada en la pericia informática, la demandada sostiene que UCU toma aisladamente una respuesta pericial y omite una valoración integral de la prueba. En esa línea, defiende la decisión de grado en cuanto tuvo por probado el reintegro mediante la pericia contable y la documental acompañada. Su conclusión es que todo eventual daño derivado de los desperfectos del servicio entre el 27/12/2012 y el 07/01/2013 fue compensado por AMX.</w:t>
      </w:r>
    </w:p>
    <w:p>
      <w:pPr>
        <w:pStyle w:val="[Normal]"/>
        <w:spacing w:line="360" w:lineRule="auto"/>
        <w:ind w:firstLine="1134"/>
        <w:jc w:val="both"/>
        <w:rPr>
          <w:lang w:val="es-AR" w:eastAsia="es-AR" w:bidi="es-AR"/>
        </w:rPr>
      </w:pPr>
      <w:r>
        <w:rPr>
          <w:lang w:val="es-AR" w:eastAsia="es-AR" w:bidi="es-AR"/>
        </w:rPr>
        <w:t xml:space="preserve">Respecto de la legitimación colectiva, AMX sostiene que UCU carece de legitimación para reclamar daños patrimoniales y morales supuestamente sufridos por cada cliente. Invoca “Halabi” y “PADEC” para afirmar que, aun en materia de derechos individuales homogéneos, la legitimación colectiva permitiría discutir los presupuestos comunes de la pretensión, pero no reclamar ni probar el daño individual de cada integrante del grupo.</w:t>
      </w:r>
    </w:p>
    <w:p>
      <w:pPr>
        <w:pStyle w:val="[Normal]"/>
        <w:spacing w:line="360" w:lineRule="auto"/>
        <w:ind w:firstLine="1134"/>
        <w:jc w:val="both"/>
        <w:rPr>
          <w:lang w:val="es-AR" w:eastAsia="es-AR" w:bidi="es-AR"/>
        </w:rPr>
      </w:pPr>
      <w:r>
        <w:rPr>
          <w:lang w:val="es-AR" w:eastAsia="es-AR" w:bidi="es-AR"/>
        </w:rPr>
        <w:t xml:space="preserve">Sobre el daño moral, la demandada mantiene que se trata de un perjuicio individual, no susceptible de tratamiento colectivo. Su posición es que cada usuario debería acreditar en forma particular la existencia, entidad y extensión de la afectación extrapatrimonial, por lo que no correspondería admitir un reclamo uniforme canalizado por la asociación.</w:t>
      </w:r>
    </w:p>
    <w:p>
      <w:pPr>
        <w:pStyle w:val="[Normal]"/>
        <w:spacing w:line="360" w:lineRule="auto"/>
        <w:ind w:firstLine="1134"/>
        <w:jc w:val="both"/>
        <w:rPr>
          <w:lang w:val="es-AR" w:eastAsia="es-AR" w:bidi="es-AR"/>
        </w:rPr>
      </w:pPr>
      <w:r>
        <w:rPr>
          <w:lang w:val="es-AR" w:eastAsia="es-AR" w:bidi="es-AR"/>
        </w:rPr>
        <w:t xml:space="preserve">En cuanto al daño punitivo, AMX pide confirmar el rechazo. Sostiene que no basta cualquier incumplimiento para aplicar la multa civil del art. 52 bis LDC, sino que debe acreditarse una inconducta grave, con elementos subjetivos de dolo o culpa grave y un componente objetivo de enriquecimiento indebido. Afirma que esas circunstancias no se verifican en el caso, especialmente porque la empresa habría informado a sus clientes, adoptado medidas para solucionar la situación y compensado los perjuicios.</w:t>
      </w:r>
    </w:p>
    <w:p>
      <w:pPr>
        <w:pStyle w:val="[Normal]"/>
        <w:spacing w:line="360" w:lineRule="auto"/>
        <w:ind w:firstLine="1134"/>
        <w:jc w:val="both"/>
        <w:rPr>
          <w:lang w:val="es-AR" w:eastAsia="es-AR" w:bidi="es-AR"/>
        </w:rPr>
      </w:pPr>
      <w:r>
        <w:rPr>
          <w:lang w:val="es-AR" w:eastAsia="es-AR" w:bidi="es-AR"/>
        </w:rPr>
        <w:t xml:space="preserve">Sobre la imposición de costas, la demandada rechaza la aplicación automática del beneficio de justicia gratuita del art. 55 LDC. Reconoce que la CSJN ha entendido que dicho beneficio comprende las costas, pero sostiene que ello presupone una acción efectivamente encuadrable en la Ley de Defensa del Consumidor. Según AMX, al no estar acreditados los requisitos de procedencia de una acción colectiva -en particular, la legitimación activa-, no corresponde aplicar el beneficio y debe confirmarse la imposición de costas a UCU.</w:t>
      </w:r>
    </w:p>
    <w:p>
      <w:pPr>
        <w:pStyle w:val="[Normal]"/>
        <w:spacing w:line="360" w:lineRule="auto"/>
        <w:ind w:firstLine="1134"/>
        <w:jc w:val="both"/>
        <w:rPr>
          <w:lang w:val="es-AR" w:eastAsia="es-AR" w:bidi="es-AR"/>
        </w:rPr>
      </w:pPr>
      <w:r>
        <w:rPr>
          <w:lang w:val="es-AR" w:eastAsia="es-AR" w:bidi="es-AR"/>
        </w:rPr>
        <w:t xml:space="preserve">Finalmente, AMX mantiene la reserva del caso federal y del caso constitucional para el supuesto de que se haga lugar al recurso de la actora, alegando eventual afectación de normas federales vinculadas al servicio de telecomunicaciones y de garantías constitucionales. En el petitorio solicita que se tenga por contestado el traslado, se declare desierto el recurso o, subsidiariamente, se lo rechace y se confirme la sentencia de primera instancia con costas.</w:t>
      </w:r>
    </w:p>
    <w:p>
      <w:pPr>
        <w:pStyle w:val="[Normal]"/>
        <w:spacing w:line="360" w:lineRule="auto"/>
        <w:ind w:firstLine="1134"/>
        <w:jc w:val="both"/>
        <w:rPr>
          <w:lang w:val="es-AR" w:eastAsia="es-AR" w:bidi="es-AR"/>
        </w:rPr>
      </w:pPr>
      <w:r>
        <w:rPr>
          <w:lang w:val="es-AR" w:eastAsia="es-AR" w:bidi="es-AR"/>
        </w:rPr>
        <w:t xml:space="preserve">Con carácter preliminar, corresponde expedirse sobre el pedido de deserción del recurso formulado por la parte demandada.</w:t>
      </w:r>
    </w:p>
    <w:p>
      <w:pPr>
        <w:pStyle w:val="[Normal]"/>
        <w:spacing w:line="360" w:lineRule="auto"/>
        <w:ind w:firstLine="1134"/>
        <w:jc w:val="both"/>
        <w:rPr>
          <w:lang w:val="es-AR" w:eastAsia="es-AR" w:bidi="es-AR"/>
        </w:rPr>
      </w:pPr>
      <w:r>
        <w:rPr>
          <w:lang w:val="es-AR" w:eastAsia="es-AR" w:bidi="es-AR"/>
        </w:rPr>
        <w:t xml:space="preserve">Al respecto, cabe recordar que la expresión de agravios debe contener una crítica concreta y razonada de las partes del fallo que el apelante considera equivocadas, sin que resulte suficiente la mera discrepancia subjetiva con lo decidido ni la simple remisión a presentaciones anteriores (arts. 260 y 261 del CPCCBA). Sin embargo, dicha exigencia no debe ser apreciada con un rigor ritual excesivo, en tanto la declaración de deserción importa una consecuencia severa que restringe el acceso a la revisión jurisdiccional de la sentencia.</w:t>
      </w:r>
    </w:p>
    <w:p>
      <w:pPr>
        <w:pStyle w:val="[Normal]"/>
        <w:spacing w:line="360" w:lineRule="auto"/>
        <w:ind w:firstLine="1134"/>
        <w:jc w:val="both"/>
        <w:rPr>
          <w:lang w:val="es-AR" w:eastAsia="es-AR" w:bidi="es-AR"/>
        </w:rPr>
      </w:pPr>
      <w:r>
        <w:rPr>
          <w:lang w:val="es-AR" w:eastAsia="es-AR" w:bidi="es-AR"/>
        </w:rPr>
        <w:t xml:space="preserve">En este sentido, se ha resuelto que: </w:t>
      </w:r>
      <w:r>
        <w:rPr>
          <w:i/>
          <w:lang w:val="es-AR" w:eastAsia="es-AR" w:bidi="es-AR"/>
        </w:rPr>
        <w:t xml:space="preserve">"Frente a un pedido de deserción recursiva, cuando se advierte mínimamente en qué consisten los agravios, debe estarse a favor de la admisibilidad del recurso, a fin de posibilitar un adecuado derecho de defensa, evitando las consecuencias disvaliosas de dar por perdida la instancia recursiva"</w:t>
      </w:r>
      <w:r>
        <w:rPr>
          <w:lang w:val="es-AR" w:eastAsia="es-AR" w:bidi="es-AR"/>
        </w:rPr>
        <w:t xml:space="preserve"> (CC0201 LP 117782 RSD 144/14 S 13/08/2014 Juez SOSA AUBONE (SD), Carátula: </w:t>
      </w:r>
      <w:r>
        <w:rPr>
          <w:i/>
          <w:lang w:val="es-AR" w:eastAsia="es-AR" w:bidi="es-AR"/>
        </w:rPr>
        <w:t xml:space="preserve">"Insaugarat Ines Dominga S/Incidente De Ejecución De Sentencia -En Autos Insaugarat Ines Dominga C/ Ministerio De Salud Y Acción Social De La Pcia. De Bs. As. S/ Daños Y Perjuicios</w:t>
      </w:r>
      <w:r>
        <w:rPr>
          <w:lang w:val="es-AR" w:eastAsia="es-AR" w:bidi="es-AR"/>
        </w:rPr>
        <w:t xml:space="preserve">)</w:t>
      </w:r>
      <w:r>
        <w:rPr>
          <w:i/>
          <w:lang w:val="es-AR" w:eastAsia="es-AR" w:bidi="es-AR"/>
        </w:rPr>
        <w:t xml:space="preserv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Desde esa perspectiva, entiendo entonces que la presentación recursiva de la actora supera el umbral mínimo de suficiencia técnica exigido por el ordenamiento procesal. En efecto, la apelante no se limita a manifestar su desacuerdo genérico con el resultado del pleito, sino que identifica concretamente los aspectos de la sentencia que reputa equivocados: la valoración de la prueba pericial relativa a las compensaciones, el rechazo de la legitimación colectiva, la desestimación del daño patrimonial, moral y punitivo, la alegada contradicción entre la declaración de abusividad de las cláusulas limitativas y el rechazo de la indemnización, y la imposición de costas.</w:t>
      </w:r>
    </w:p>
    <w:p>
      <w:pPr>
        <w:pStyle w:val="[Normal]"/>
        <w:spacing w:line="360" w:lineRule="auto"/>
        <w:ind w:firstLine="1134"/>
        <w:jc w:val="both"/>
        <w:rPr>
          <w:lang w:val="es-AR" w:eastAsia="es-AR" w:bidi="es-AR"/>
        </w:rPr>
      </w:pPr>
      <w:r>
        <w:rPr>
          <w:lang w:val="es-AR" w:eastAsia="es-AR" w:bidi="es-AR"/>
        </w:rPr>
        <w:t xml:space="preserve">Es cierto que, como se verá, varios de los agravios planteados no tendrán recepción favorable en lo sustancial . Pero la suerte adversa de una crítica no debe confundirse con su inexistencia técnica. La expresión de agravios permite conocer con suficiente claridad cuál es el error que la recurrente atribuye al pronunciamiento de grado y habilita, por ende, el ejercicio pleno del contradictorio y de la función revisora de esta Alzada.</w:t>
      </w:r>
    </w:p>
    <w:p>
      <w:pPr>
        <w:pStyle w:val="[Normal]"/>
        <w:spacing w:line="360" w:lineRule="auto"/>
        <w:ind w:firstLine="1134"/>
        <w:jc w:val="both"/>
        <w:rPr>
          <w:lang w:val="es-AR" w:eastAsia="es-AR" w:bidi="es-AR"/>
        </w:rPr>
      </w:pPr>
      <w:r>
        <w:rPr>
          <w:lang w:val="es-AR" w:eastAsia="es-AR" w:bidi="es-AR"/>
        </w:rPr>
        <w:t xml:space="preserve">En consecuencia, corresponde desestimar el pedido de deserción del recurso formulado por AMX Argentina S.A. e</w:t>
      </w:r>
      <w:r>
        <w:rPr>
          <w:b/>
          <w:lang w:val="es-AR" w:eastAsia="es-AR" w:bidi="es-AR"/>
        </w:rPr>
        <w:t xml:space="preserve"> </w:t>
      </w:r>
      <w:r>
        <w:rPr>
          <w:lang w:val="es-AR" w:eastAsia="es-AR" w:bidi="es-AR"/>
        </w:rPr>
        <w:t xml:space="preserve">ingresar al tratamiento de los agravios propuestos por la parte actora.</w:t>
      </w:r>
    </w:p>
    <w:p>
      <w:pPr>
        <w:pStyle w:val="[Normal]"/>
        <w:spacing w:line="360" w:lineRule="auto"/>
        <w:ind w:firstLine="1134"/>
        <w:jc w:val="both"/>
        <w:rPr>
          <w:lang w:val="es-AR" w:eastAsia="es-AR" w:bidi="es-AR"/>
        </w:rPr>
      </w:pPr>
      <w:r>
        <w:rPr>
          <w:lang w:val="es-AR" w:eastAsia="es-AR" w:bidi="es-AR"/>
        </w:rPr>
        <w:t xml:space="preserve">Abocándome entonces al ejercicio de la función propiamente revisora, advierto que la cuestión litigiosa sometida a revisión consiste en determinar si, frente a la interrupción o deficiente prestación del servicio de telefonía móvil atribuida a AMX en la ciudad de Colón, la asociación actora podía obtener una condena colectiva por daño patrimonial, daño moral y daño punitivo en favor de los usuarios afectados, o si tales rubros exigían una acreditación individual incompatible con el alcance de la pretensión deducida. De configurarse la primera alternativa, el examen revisor deberá avanzar sobre un segundo plano de análisis: definir si la demandada acreditó en forma suficiente haber compensado a los usuarios alcanzados por la deficiente prestación del servicio y si dicha compensación, en su caso, tuvo entidad bastante para extinguir o neutralizar los daños reclamados. De la respuesta que se brinde a tales interrogantes dependerá, en definitiva, confirmar o no el rechazo íntegro de la demanda que fuera dispuesta en la instancia de origen o, por el contrario, revocarlo total o parcialmente.</w:t>
      </w:r>
    </w:p>
    <w:p>
      <w:pPr>
        <w:pStyle w:val="[Normal]"/>
        <w:spacing w:line="360" w:lineRule="auto"/>
        <w:ind w:firstLine="1134"/>
        <w:jc w:val="both"/>
        <w:rPr>
          <w:lang w:val="es-AR" w:eastAsia="es-AR" w:bidi="es-AR"/>
        </w:rPr>
      </w:pPr>
      <w:r>
        <w:rPr>
          <w:lang w:val="es-AR" w:eastAsia="es-AR" w:bidi="es-AR"/>
        </w:rPr>
        <w:t xml:space="preserve">Dicho en otros términos, el objeto de la tarea revisora no radica ya, en lo sustancial, en determinar si existió una relación de consumo entre AMX y los usuarios del servicio de telefonía móvil de la ciudad de Colón, ni si durante el período debatido se verificó una deficiente o interrumpida prestación del servicio, ni tampoco si resultan abusivas e inoponibles las cláusulas contractuales limitativas de responsabilidad, extremos que fueron ponderados por el juez de grado en el marco de la sentencia apelada. El núcleo de la controversia recursiva se centra, más bien, en establecer si, a partir de esa plataforma fáctica y jurídica que ha quedado firme y consentida, la asociación actora se encontraba legitimada para canalizar colectivamente las pretensiones resarcitorias deducidas y en determinar si la prueba producida permite tener por acreditada una compensación suficiente e integral por parte de AMX.</w:t>
      </w:r>
    </w:p>
    <w:p>
      <w:pPr>
        <w:pStyle w:val="[Normal]"/>
        <w:spacing w:line="360" w:lineRule="auto"/>
        <w:ind w:firstLine="1134"/>
        <w:jc w:val="both"/>
        <w:rPr>
          <w:lang w:val="es-AR" w:eastAsia="es-AR" w:bidi="es-AR"/>
        </w:rPr>
      </w:pPr>
      <w:r>
        <w:rPr>
          <w:lang w:val="es-AR" w:eastAsia="es-AR" w:bidi="es-AR"/>
        </w:rPr>
        <w:t xml:space="preserve">En virtud de lo expuesto, y por razones de orden lógico, el tratamiento de los agravios habrá de organizarse en tres planos sucesivos. En primer lugar, corresponde examinar si la pretensión deducida por la asociación actora resultaba procesalmente admisible como acción colectiva orientada a obtener una condena resarcitoria en favor de los usuarios alcanzados por la alegada interrupción del servicio. Esta cuestión reviste carácter preliminar, pues de su respuesta depende la necesidad -o no- de ingresar al análisis sustancial de los rubros indemnizatorios reclamados. </w:t>
      </w:r>
    </w:p>
    <w:p>
      <w:pPr>
        <w:pStyle w:val="[Normal]"/>
        <w:spacing w:line="360" w:lineRule="auto"/>
        <w:ind w:firstLine="1134"/>
        <w:jc w:val="both"/>
        <w:rPr>
          <w:lang w:val="es-AR" w:eastAsia="es-AR" w:bidi="es-AR"/>
        </w:rPr>
      </w:pPr>
      <w:r>
        <w:rPr>
          <w:lang w:val="es-AR" w:eastAsia="es-AR" w:bidi="es-AR"/>
        </w:rPr>
        <w:t xml:space="preserve">En segundo término, sólo para el supuesto de admitirse la idoneidad de la vía colectiva respecto de alguno de tales rubros, deberá analizarse si AMX acreditó haber compensado suficientemente a los usuarios afectados y si dicha compensación tuvo virtualidad extintiva, total o parcial, de la pretensión resarcitoria. </w:t>
      </w:r>
    </w:p>
    <w:p>
      <w:pPr>
        <w:pStyle w:val="[Normal]"/>
        <w:spacing w:line="360" w:lineRule="auto"/>
        <w:ind w:firstLine="1134"/>
        <w:jc w:val="both"/>
        <w:rPr>
          <w:lang w:val="es-AR" w:eastAsia="es-AR" w:bidi="es-AR"/>
        </w:rPr>
      </w:pPr>
      <w:r>
        <w:rPr>
          <w:lang w:val="es-AR" w:eastAsia="es-AR" w:bidi="es-AR"/>
        </w:rPr>
        <w:t xml:space="preserve">Finalmente, y en función del resultado de los puntos anteriores, corresponderá expedirse sobre la procedencia del daño patrimonial, daño moral y daño punitivo reclamados, así como sobre el régimen de costas aplicable.</w:t>
      </w:r>
    </w:p>
    <w:p>
      <w:pPr>
        <w:pStyle w:val="[Normal]"/>
        <w:spacing w:line="360" w:lineRule="auto"/>
        <w:ind w:firstLine="1134"/>
        <w:jc w:val="both"/>
        <w:rPr>
          <w:lang w:val="es-AR" w:eastAsia="es-AR" w:bidi="es-AR"/>
        </w:rPr>
      </w:pPr>
      <w:r>
        <w:rPr>
          <w:lang w:val="es-AR" w:eastAsia="es-AR" w:bidi="es-AR"/>
        </w:rPr>
        <w:t xml:space="preserve">Antes de ingresar al tratamiento concreto de los agravios, estimo necesario efectuar una serie de precisiones conceptuales y jurídicas en torno al régimen jurídico aplicable a las acciones colectivas promovidas en defensa de derechos individuales homogéneos.	</w:t>
        <w:br w:type="textWrapping"/>
      </w:r>
      <w:r>
        <w:rPr>
          <w:lang w:val="es-AR" w:eastAsia="es-AR" w:bidi="es-AR"/>
        </w:rPr>
        <w:t xml:space="preserve"> 	Actualmente, no existe una legislación procesal que reglamente las acciones colectivas previstas para la defensa de los derechos de los consumidores y usuarios (arts. 42,43 C.N., arts. 54 y concs. L.D.C., art. 26 y concs. ley provincial 13.133).  	</w:t>
        <w:br w:type="textWrapping"/>
      </w:r>
      <w:r>
        <w:rPr>
          <w:lang w:val="es-AR" w:eastAsia="es-AR" w:bidi="es-AR"/>
        </w:rPr>
        <w:t xml:space="preserve"> 	Sin embargo, la Corte Nacional ha dictado las Acordadas 32/2014 (Registro Público de Procesos Colectivos) y 12/2016; esta última establece reglas de actuación en procesos colectivos derivadas de los precedentes del tribunal, aplicables hasta tanto se dicte una ley que regule este tipo de procesos. En el ámbito de esta provincia, se dispone el deber de anotar en el Registro Público de Procesos de Incidencia Colectiva todos los procesos en que se debatan derechos colectivos o de incidencia colectiva en general, a excepción de los procesos de hábeas corpus (Acordada S.C.B.A. 3660/2013). 	</w:t>
      </w:r>
    </w:p>
    <w:p>
      <w:pPr>
        <w:pStyle w:val="[Normal]"/>
        <w:spacing w:line="360" w:lineRule="auto"/>
        <w:ind w:firstLine="1134"/>
        <w:jc w:val="both"/>
        <w:rPr>
          <w:lang w:val="es-AR" w:eastAsia="es-AR" w:bidi="es-AR"/>
        </w:rPr>
      </w:pPr>
      <w:r>
        <w:rPr>
          <w:lang w:val="es-AR" w:eastAsia="es-AR" w:bidi="es-AR"/>
        </w:rPr>
        <w:t xml:space="preserve">Partimos de un concepto amplio de proceso colectivo, entendido como aquel que se diferencia de la </w:t>
      </w:r>
      <w:r>
        <w:rPr>
          <w:i/>
          <w:lang w:val="es-AR" w:eastAsia="es-AR" w:bidi="es-AR"/>
        </w:rPr>
        <w:t xml:space="preserve">"litis singular"</w:t>
      </w:r>
      <w:r>
        <w:rPr>
          <w:lang w:val="es-AR" w:eastAsia="es-AR" w:bidi="es-AR"/>
        </w:rPr>
        <w:t xml:space="preserve">, por el efecto expansivo que pueden tener sus decisiones a todas las personas o miembros de un grupo que se vean afectados en los mismos intereses y en virtud de un mismo hecho. Cuando la cuestión es de interés a muchas personas, o cuando las partes son tan numerosas que resulte impracticable llevarlas a todas a juicio, una o más pueden demandar o defenderse en beneficio de todos.	</w:t>
        <w:br w:type="textWrapping"/>
      </w:r>
      <w:r>
        <w:rPr>
          <w:lang w:val="es-AR" w:eastAsia="es-AR" w:bidi="es-AR"/>
        </w:rPr>
        <w:t xml:space="preserve">	En el proceso colectivo, la naturaleza del derecho, la legitimación procesal, la proyección común de la causa petendi mantienen una correspondencia dinámica que halla su culminación lógica en una sentencia con efectos expansivos de la cosa juzgada (Cf. Concepto de acciones de clase del "California Code of Civil Procedure", disponible en internet -www.californiacivilprocedure.com-).	</w:t>
        <w:br w:type="textWrapping"/>
      </w:r>
      <w:r>
        <w:rPr>
          <w:lang w:val="es-AR" w:eastAsia="es-AR" w:bidi="es-AR"/>
        </w:rPr>
        <w:t xml:space="preserve"> 	Al decir de Andrés Gil Domínguez, la titularidad del derecho, la legitimación procesal y la cosa juzgada corren por el mismo andarivel en cuanto a la racionalidad de la garantía. Si la primera presupone una pluralidad de titulares del derecho colectivo, la tercera expande a la totalidad del grupo afectado (Cf. Gil Domínguez, Andrés, Los derechos de incidencia colectiva homogéneos y los efectos erga omnes de la cosa juzgada, Publicado en: LA LEY 2009-F, 296).</w:t>
      </w:r>
    </w:p>
    <w:p>
      <w:pPr>
        <w:pStyle w:val="[Normal]"/>
        <w:spacing w:line="360" w:lineRule="auto"/>
        <w:ind w:firstLine="1134"/>
        <w:jc w:val="both"/>
        <w:rPr>
          <w:lang w:val="es-AR" w:eastAsia="es-AR" w:bidi="es-AR"/>
        </w:rPr>
      </w:pPr>
      <w:r>
        <w:rPr>
          <w:lang w:val="es-AR" w:eastAsia="es-AR" w:bidi="es-AR"/>
        </w:rPr>
        <w:t xml:space="preserve">La calificación </w:t>
      </w:r>
      <w:r>
        <w:rPr>
          <w:i/>
          <w:lang w:val="es-AR" w:eastAsia="es-AR" w:bidi="es-AR"/>
        </w:rPr>
        <w:t xml:space="preserve">“colectiva”</w:t>
      </w:r>
      <w:r>
        <w:rPr>
          <w:lang w:val="es-AR" w:eastAsia="es-AR" w:bidi="es-AR"/>
        </w:rPr>
        <w:t xml:space="preserve"> del proceso tiene sus raíces en las características típicas del interés afectado. Dicho de otro modo, la titularidad de este tipo de intereses habilita la aptitud de ser parte con facultades de representación grupal en un proceso colectivo. Surge, aquí, el problema de la legitimación. Y, desde una mirada más amplia, el de los presupuestos de la acción de clase.</w:t>
      </w:r>
    </w:p>
    <w:p>
      <w:pPr>
        <w:pStyle w:val="[Normal]"/>
        <w:spacing w:line="360" w:lineRule="auto"/>
        <w:ind w:firstLine="1134"/>
        <w:jc w:val="both"/>
        <w:rPr>
          <w:lang w:val="es-AR" w:eastAsia="es-AR" w:bidi="es-AR"/>
        </w:rPr>
      </w:pPr>
      <w:r>
        <w:rPr>
          <w:lang w:val="es-AR" w:eastAsia="es-AR" w:bidi="es-AR"/>
        </w:rPr>
        <w:t xml:space="preserve">A propósito de ello, la C.S.J.N. establece algunas precisiones y requisitos para este tipo de acciones en la causa </w:t>
      </w:r>
      <w:r>
        <w:rPr>
          <w:i/>
          <w:lang w:val="es-AR" w:eastAsia="es-AR" w:bidi="es-AR"/>
        </w:rPr>
        <w:t xml:space="preserve">“Halabi”</w:t>
      </w:r>
      <w:r>
        <w:rPr>
          <w:lang w:val="es-AR" w:eastAsia="es-AR" w:bidi="es-AR"/>
        </w:rPr>
        <w:t xml:space="preserve"> del 24/02/09 (Fallos: 332:111), 	</w:t>
        <w:br w:type="textWrapping"/>
      </w:r>
      <w:r>
        <w:rPr>
          <w:lang w:val="es-AR" w:eastAsia="es-AR" w:bidi="es-AR"/>
        </w:rPr>
        <w:t xml:space="preserve"> 	El fallo que dicta la Corte Nacional en el marco de la causa aludida se refiere a la legitimación procesal y, en primer lugar, delimita tres categorías de derechos: individuales, de incidencia colectiva que tienen por objeto bienes colectivos, y de incidencia colectiva referentes a intereses individuales homogéneos. </w:t>
      </w:r>
    </w:p>
    <w:p>
      <w:pPr>
        <w:pStyle w:val="[Normal]"/>
        <w:spacing w:line="360" w:lineRule="auto"/>
        <w:ind w:firstLine="1134"/>
        <w:jc w:val="both"/>
        <w:rPr>
          <w:lang w:val="es-AR" w:eastAsia="es-AR" w:bidi="es-AR"/>
        </w:rPr>
      </w:pPr>
      <w:r>
        <w:rPr>
          <w:lang w:val="es-AR" w:eastAsia="es-AR" w:bidi="es-AR"/>
        </w:rPr>
        <w:t xml:space="preserve">Sobre estos últimos, se explica que se afectan derechos individuales enteramente divisibles; sin embargo, es identificable una causa fáctica homogénea, dato que tiene relevancia jurídica porque en tales casos la demostración de los presupuestos de la pretensión es común a todos esos intereses, excepto en lo que concierne al daño que individualmente se sufre. </w:t>
      </w:r>
    </w:p>
    <w:p>
      <w:pPr>
        <w:pStyle w:val="[Normal]"/>
        <w:spacing w:line="360" w:lineRule="auto"/>
        <w:ind w:firstLine="1134"/>
        <w:jc w:val="both"/>
        <w:rPr>
          <w:lang w:val="es-AR" w:eastAsia="es-AR" w:bidi="es-AR"/>
        </w:rPr>
      </w:pPr>
      <w:r>
        <w:rPr>
          <w:lang w:val="es-AR" w:eastAsia="es-AR" w:bidi="es-AR"/>
        </w:rPr>
        <w:t xml:space="preserve">Para la procedencia de este tipo de acciones, el fallo puntualiza que se requiere la verificación de una causa fáctica común; una pretensión procesal enfocada en el aspecto colectivo de los efectos de ese hecho; y la constatación de que el ejercicio individual no aparece plenamente justificado, con la excepción de que exista un fuerte interés estatal en su protección.</w:t>
      </w:r>
    </w:p>
    <w:p>
      <w:pPr>
        <w:pStyle w:val="[Normal]"/>
        <w:spacing w:line="360" w:lineRule="auto"/>
        <w:ind w:firstLine="1134"/>
        <w:jc w:val="both"/>
        <w:rPr>
          <w:lang w:val="es-AR" w:eastAsia="es-AR" w:bidi="es-AR"/>
        </w:rPr>
      </w:pPr>
      <w:r>
        <w:pict>
          <v:shape id="Rectangle 694" coordsize="21600,21600" o:spt="202" path="m,l,21600r21600,l21600,xe" stroked="f" strokeweight="0" style="width:9.05pt;height:18.35pt;position:absolute;margin-left:36.15pt;margin-top:155.65pt;z-index:251659263;mso-wrap-distance-right:0;mso-wrap-distance-left:0;">
            <v:fill opacity="0"/>
            <v:stroke joinstyle="miter"/>
            <v:path gradientshapeok="t" o:connecttype="rect"/>
            <v:textbox inset="0pt,0pt,0pt,0pt">
              <w:txbxContent>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160" w:line="259" w:lineRule="auto"/>
                    <w:ind w:left="0" w:firstLine="0"/>
                    <w:jc w:val="left"/>
                    <w:rPr>
                      <w:rFonts w:ascii="Times New Roman" w:hAnsi="Times New Roman" w:eastAsia="Times New Roman" w:cs="Times New Roman"/>
                      <w:sz w:val="15"/>
                      <w:lang w:val="es-AR" w:eastAsia="es-AR" w:bidi="es-AR"/>
                    </w:rPr>
                  </w:pPr>
                  <w:r>
                    <w:rPr>
                      <w:rFonts w:ascii="Times New Roman" w:hAnsi="Times New Roman" w:eastAsia="Times New Roman" w:cs="Times New Roman"/>
                      <w:sz w:val="15"/>
                      <w:lang w:val="es-AR" w:eastAsia="es-AR" w:bidi="es-AR"/>
                    </w:rPr>
                    <w:t xml:space="preserve"> </w:t>
                  </w:r>
                </w:p>
              </w:txbxContent>
            </v:textbox>
            <w10:wrap type="none"/>
          </v:shape>
        </w:pict>
      </w:r>
      <w:r>
        <w:rPr>
          <w:lang w:val="es-AR" w:eastAsia="es-AR" w:bidi="es-AR"/>
        </w:rPr>
        <w:t xml:space="preserve">Posteriormente, el Máximo Tribunal nacional establece más precisiones y recaudos para aplicar en acciones colectivas futuras. En este sentido, se dice que la admisión formal de toda acción colectiva requiere la verificación de ciertos recaudos elementales que hacen a su viabilidad tales como la precisa  identificación  del  grupo  o  colectivo afectado, la idoneidad de quien pretenda asumir su representación y la existencia de un planteo que involucre, por sobre los aspectos individuales, cuestiones de hecho y de derecho que sean comunes y homogéneas a todo el colectivo. A su vez, se puntualiza que es esencial que se arbitre  en  cada  caso  un  procedimiento  apto para garantizar la adecuada notificación de todas aquellas personas que pudieran tener un interés en el resultado del litigio, de manera de asegurarles tanto la alternativa de optar por quedar fuera del  pleito  como  la  de  comparecer  en  él  como  parte o contraparte. Agrega que es menester que se implementen adecuadas medidas de publicidad orientadas a evitar la multiplicación o superposición de procesos colectivos con un mismo objeto a fin de aventar el peligro de que se dicten sentencias disímiles o contradictorias sobre idénticos puntos. 	</w:t>
        <w:br w:type="textWrapping"/>
      </w:r>
      <w:r>
        <w:rPr>
          <w:lang w:val="es-AR" w:eastAsia="es-AR" w:bidi="es-AR"/>
        </w:rPr>
        <w:t xml:space="preserve"> 	Por otra parte, en  la causa </w:t>
      </w:r>
      <w:r>
        <w:rPr>
          <w:i/>
          <w:lang w:val="es-AR" w:eastAsia="es-AR" w:bidi="es-AR"/>
        </w:rPr>
        <w:t xml:space="preserve">“PADEC c/ Swiss Medical S.A.”</w:t>
      </w:r>
      <w:r>
        <w:rPr>
          <w:lang w:val="es-AR" w:eastAsia="es-AR" w:bidi="es-AR"/>
        </w:rPr>
        <w:t xml:space="preserve"> del 21/8/2013 (Fallos: 336:1236), la Corte Federal, remitiéndose al precedente </w:t>
      </w:r>
      <w:r>
        <w:rPr>
          <w:i/>
          <w:lang w:val="es-AR" w:eastAsia="es-AR" w:bidi="es-AR"/>
        </w:rPr>
        <w:t xml:space="preserve">“Halabi”</w:t>
      </w:r>
      <w:r>
        <w:rPr>
          <w:lang w:val="es-AR" w:eastAsia="es-AR" w:bidi="es-AR"/>
        </w:rPr>
        <w:t xml:space="preserve"> reconoce que una asociación de usuarios y consumidores puede accionar judicialmente para cuestionar un hecho o acto que ocasionaría una lesión a una pluralidad de individuos. Se destaca que en el caso se impugna el contrato tipo que suscriben quienes se afilian a la empresa de medicina prepaga y el planteo se orienta a cuestionar un </w:t>
      </w:r>
      <w:r>
        <w:rPr>
          <w:i/>
          <w:lang w:val="es-AR" w:eastAsia="es-AR" w:bidi="es-AR"/>
        </w:rPr>
        <w:t xml:space="preserve">“efecto común”</w:t>
      </w:r>
      <w:r>
        <w:rPr>
          <w:lang w:val="es-AR" w:eastAsia="es-AR" w:bidi="es-AR"/>
        </w:rPr>
        <w:t xml:space="preserve"> que este produce a todo el colectivo de afiliados de la demandada. Asimismo, se señala que dada la escasa significación económica individual de las sumas involucradas, no aparece justificado que cada uno de los posibles afectados promueva su propia demanda, de manera que la acción colectiva iniciada por la asociación actora permitía tutelar el interés de los afiliados. </w:t>
        <w:br w:type="textWrapping"/>
      </w:r>
      <w:r>
        <w:rPr>
          <w:lang w:val="es-AR" w:eastAsia="es-AR" w:bidi="es-AR"/>
        </w:rPr>
        <w:t xml:space="preserve"> 	Luego, la C.S.J.N. se pronunció en varias causas, entre otras, </w:t>
      </w:r>
      <w:r>
        <w:rPr>
          <w:i/>
          <w:lang w:val="es-AR" w:eastAsia="es-AR" w:bidi="es-AR"/>
        </w:rPr>
        <w:t xml:space="preserve">“Consumidores Financieros c/ Banco Itaú Buen Ayre Argentina S.A. s/ ordinario”</w:t>
      </w:r>
      <w:r>
        <w:rPr>
          <w:lang w:val="es-AR" w:eastAsia="es-AR" w:bidi="es-AR"/>
        </w:rPr>
        <w:t xml:space="preserve"> (Fallos: 337:753) y </w:t>
      </w:r>
      <w:r>
        <w:rPr>
          <w:i/>
          <w:lang w:val="es-AR" w:eastAsia="es-AR" w:bidi="es-AR"/>
        </w:rPr>
        <w:t xml:space="preserve">“Consumidores Financieros c/ La Meridional Compañía Argentina de Seguros S.A. s/ ordinario”</w:t>
      </w:r>
      <w:r>
        <w:rPr>
          <w:lang w:val="es-AR" w:eastAsia="es-AR" w:bidi="es-AR"/>
        </w:rPr>
        <w:t xml:space="preserve"> (Fallos: 337:762), ambas de fecha 24/6/2014, en las cuales el tribunal vuelve a reconocer la posibilidad de que una asociación pueda iniciar demandas colectivas en defensa de los derechos de los usuarios y consumidores. En la primera de las causas, la asociación cuestiona por ilegítimo un cargo que una entidad bancaria cobraba a sus clientes de cuenta-corriente. En la segunda de ellas, solicita que se ordene a una compañía aseguradora que deje de aplicar intereses sobre ciertas cuotas de la prima del seguro. En ambos supuestos, además, se reclama que se restituyan a los clientes las sumas cobradas por esos conceptos. El tribunal se refiere a los precedentes anteriormente citados y destaca que la acción colectiva es admisible cuando los costos que debe afrontar cada consumidor para promover una demanda individual resultan superiores al beneficio económico que obtendría de una sentencia favorable. 	</w:t>
        <w:br w:type="textWrapping"/>
      </w:r>
      <w:r>
        <w:rPr>
          <w:lang w:val="es-AR" w:eastAsia="es-AR" w:bidi="es-AR"/>
        </w:rPr>
        <w:t xml:space="preserve"> 	Como se dijo anteriormente, la Acordada 12/2016 de la C.S.J.N., si bien aplicable al ámbito federal, sistematiza las reglas de los precedentes judiciales y establece que </w:t>
      </w:r>
      <w:r>
        <w:rPr>
          <w:i/>
          <w:lang w:val="es-AR" w:eastAsia="es-AR" w:bidi="es-AR"/>
        </w:rPr>
        <w:t xml:space="preserve">“…en los términos del artículo 330 del Código Procesal Civil y Comercial de la Nación, en la demanda se deberá precisar:... En los procesos colectivos referentes a intereses individuales homogéneos: a) la causa fáctica o normativa común que provoca la lesión a los derechos; b) que la pretensión está focalizada en los efectos comunes y c) la afectación del derecho de acceso a la justicia de los integrantes del colectivo involucrado. Asimismo, en ambos tipos de procesos el actor deberá: a) identificar el colectivo involucrado en el caso; b) justificar la adecuada representación del colectivo; c) indicar, de corresponder, los datos de la inscripción en el Registro Nacional de Asociaciones de Consumidores; d) denunciar, con carácter de declaración jurada, si ha iniciado otra u otras acciones cuyas pretensiones guarden una sustancial semejanza en la afectación de los derechos de incidencia colectiva y, en su caso, los datos de individualización de las causas, el tribunal donde se encuentran tramitando y su estado procesal, y e) realizar la consulta al Registro Público de Procesos Colectivos respecto de la existencia de otro proceso en trámite cuya pretensión guarde sustancial semejanza en la afectación de los derechos de incidencia colectiva e informar, con carácter de declaración jurada, su resultado. En su caso, se consignarán los datos de individualización de la causa, el tribunal donde se encuentra tramitando y su estado procesal”.</w:t>
      </w:r>
      <w:r>
        <w:rPr>
          <w:lang w:val="es-AR" w:eastAsia="es-AR" w:bidi="es-AR"/>
        </w:rPr>
        <w:t xml:space="preserve"> 	</w:t>
        <w:br w:type="textWrapping"/>
      </w:r>
      <w:r>
        <w:rPr>
          <w:lang w:val="es-AR" w:eastAsia="es-AR" w:bidi="es-AR"/>
        </w:rPr>
        <w:t xml:space="preserve"> 	Por su parte,</w:t>
      </w:r>
      <w:r>
        <w:rPr>
          <w:b/>
          <w:lang w:val="es-AR" w:eastAsia="es-AR" w:bidi="es-AR"/>
        </w:rPr>
        <w:t xml:space="preserve"> </w:t>
      </w:r>
      <w:r>
        <w:rPr>
          <w:lang w:val="es-AR" w:eastAsia="es-AR" w:bidi="es-AR"/>
        </w:rPr>
        <w:t xml:space="preserve">la Corte bonaerense dictó en el año 2014 el fallo </w:t>
      </w:r>
      <w:r>
        <w:rPr>
          <w:i/>
          <w:lang w:val="es-AR" w:eastAsia="es-AR" w:bidi="es-AR"/>
        </w:rPr>
        <w:t xml:space="preserve">“López” </w:t>
      </w:r>
      <w:r>
        <w:rPr>
          <w:lang w:val="es-AR" w:eastAsia="es-AR" w:bidi="es-AR"/>
        </w:rPr>
        <w:t xml:space="preserve">(SCBA, LP C 91576 S,  26/03/2014) y admitió la posibilidad de que un afectado por un concepto incluido en las facturas de una cooperativa eléctrica reclame colectivamente: “</w:t>
      </w:r>
      <w:r>
        <w:rPr>
          <w:i/>
          <w:lang w:val="es-AR" w:eastAsia="es-AR" w:bidi="es-AR"/>
        </w:rPr>
        <w:t xml:space="preserve">El usuario afectado por el cobro del rubro "Resolución 110 INAC no asociado" que articuló su pretensión de cesación, no sólo en procura de su interés particular, sino además en defensa de los restantes sujetos servidos por la demandada, ejercitó la legitimación que el art. 43 de la Constitución Nacional reconoce a los afectados para la defensa de derechos de incidencia colectiva así como en nuestra provincia, asimismo, el Código de Implementación de los Derechos de los Consumidores y Usuarios (ley 13.133) habilita la legitimación los consumidores y usuarios "en forma individual o colectiva" en casos de amenaza o afectación de sus "derechos subjetivos, de incidencia colectiva o intereses legítimos" (art. 26, inc. a), ley cit.).”	 </w:t>
      </w:r>
      <w:r>
        <w:rPr>
          <w:lang w:val="es-AR" w:eastAsia="es-AR" w:bidi="es-AR"/>
        </w:rPr>
        <w:br w:type="textWrapping"/>
      </w:r>
      <w:r>
        <w:rPr>
          <w:lang w:val="es-AR" w:eastAsia="es-AR" w:bidi="es-AR"/>
        </w:rPr>
        <w:t xml:space="preserve"> 	La S.C.J.N. expresó que la noción </w:t>
      </w:r>
      <w:r>
        <w:rPr>
          <w:i/>
          <w:lang w:val="es-AR" w:eastAsia="es-AR" w:bidi="es-AR"/>
        </w:rPr>
        <w:t xml:space="preserve">"derechos de incidencia colectiva"</w:t>
      </w:r>
      <w:r>
        <w:rPr>
          <w:lang w:val="es-AR" w:eastAsia="es-AR" w:bidi="es-AR"/>
        </w:rPr>
        <w:t xml:space="preserve"> (art. 43, Const. nac.) no se limita a la más tradicional de sus versiones (es decir, los llamados intereses "difusos"), sino que abarca otras situaciones en las que el bien tutelado pertenece de modo individual o divisible a una pluralidad relevante de sujetos, la lesión proviene de un origen común, y las características del caso demuestran la imposibilidad práctica o manifiesta inconveniencia de tramitar la controversia a través de los moldes adjetivos tradicionales (litisconsorcio, intervención de terceros, acumulación de acciones, etc.). 	</w:t>
        <w:br w:type="textWrapping"/>
      </w:r>
      <w:r>
        <w:rPr>
          <w:lang w:val="es-AR" w:eastAsia="es-AR" w:bidi="es-AR"/>
        </w:rPr>
        <w:t xml:space="preserve"> 	En el precedente citado el máximo tribunal de la provincia hizo un pormenorizado análisis de los fallos de la C.S.J.N. para luego referirse a los casos </w:t>
      </w:r>
      <w:r>
        <w:rPr>
          <w:i/>
          <w:lang w:val="es-AR" w:eastAsia="es-AR" w:bidi="es-AR"/>
        </w:rPr>
        <w:t xml:space="preserve">“Halabi”</w:t>
      </w:r>
      <w:r>
        <w:rPr>
          <w:lang w:val="es-AR" w:eastAsia="es-AR" w:bidi="es-AR"/>
        </w:rPr>
        <w:t xml:space="preserve"> y </w:t>
      </w:r>
      <w:r>
        <w:rPr>
          <w:i/>
          <w:lang w:val="es-AR" w:eastAsia="es-AR" w:bidi="es-AR"/>
        </w:rPr>
        <w:t xml:space="preserve">“Padec”</w:t>
      </w:r>
      <w:r>
        <w:rPr>
          <w:lang w:val="es-AR" w:eastAsia="es-AR" w:bidi="es-AR"/>
        </w:rPr>
        <w:t xml:space="preserve">, entre otros. De esa reseña de casos, la S.C.B.A. arriba a la conclusión de que la C.S.J.N., por mayoría, ha reconocido legitimación activa, tanto al afectado como al Defensor del Pueblo y a determinadas asociaciones, para promover acciones en defensa de los derechos de incidencia colectiva, sean estos </w:t>
      </w:r>
      <w:r>
        <w:rPr>
          <w:i/>
          <w:lang w:val="es-AR" w:eastAsia="es-AR" w:bidi="es-AR"/>
        </w:rPr>
        <w:t xml:space="preserve">"colectivos o difusos"</w:t>
      </w:r>
      <w:r>
        <w:rPr>
          <w:lang w:val="es-AR" w:eastAsia="es-AR" w:bidi="es-AR"/>
        </w:rPr>
        <w:t xml:space="preserve"> (pretensión de objeto indivisible), cuanto pluriindividuales homogéneos, incluyendo -en estos últimos- los de carácter patrimonial. Ello así si no aparece justificado que cada uno de los posibles afectados del colectivo involucrado promueva su propia demanda. A su vez, destaca que la C.S.J.N. lejos de circunscribir la vía para el encauzamiento de dichos procesos al ámbito amparístico (art. 43, Const. nac.), ha considerado viable su tratamiento por medio de acciones declarativas (Fallos: 320:690), habeas corpus colectivo (Fallos: 328:1146) y hasta mediante un proceso ordinario ("Padec"). 	</w:t>
        <w:br w:type="textWrapping"/>
      </w:r>
      <w:r>
        <w:rPr>
          <w:lang w:val="es-AR" w:eastAsia="es-AR" w:bidi="es-AR"/>
        </w:rPr>
        <w:t xml:space="preserve"> 	Al analizar el caso en cuestión, la S.C.B.A. expresamente destacó que la escasa significación económica respecto de cada usuario no justifica la promoción de procesos individuales. 	</w:t>
        <w:br w:type="textWrapping"/>
      </w:r>
      <w:r>
        <w:rPr>
          <w:lang w:val="es-AR" w:eastAsia="es-AR" w:bidi="es-AR"/>
        </w:rPr>
        <w:t xml:space="preserve"> 	Es necesario señalar que la S.C.B.A. se ha expedido posteriormente en otros procesos colectivos. En la causa “Marazatto”, la Corte bonaerense ratificó que </w:t>
      </w:r>
      <w:r>
        <w:rPr>
          <w:i/>
          <w:lang w:val="es-AR" w:eastAsia="es-AR" w:bidi="es-AR"/>
        </w:rPr>
        <w:t xml:space="preserve">“El requisito de que el interés individual homogéneo de tipo patrimonial no debe justificar -considerado aisladamente- la promoción de demandas particulares a efectos de su reclamo colectivo tiene anclaje tanto en la jurisprudencia de este Tribunal como en precedentes de la Corte Suprema nacional e incluso, en la propia legislación local”</w:t>
      </w:r>
      <w:r>
        <w:rPr>
          <w:lang w:val="es-AR" w:eastAsia="es-AR" w:bidi="es-AR"/>
        </w:rPr>
        <w:t xml:space="preserve"> Dijo el Dr. Pettigiani (cuyo voto tuvo la adhesión de los otros Ministros) “…siguiendo las líneas sentadas por la Corte Suprema nacional a partir de </w:t>
      </w:r>
      <w:r>
        <w:rPr>
          <w:i/>
          <w:lang w:val="es-AR" w:eastAsia="es-AR" w:bidi="es-AR"/>
        </w:rPr>
        <w:t xml:space="preserve">"Halabi"</w:t>
      </w:r>
      <w:r>
        <w:rPr>
          <w:lang w:val="es-AR" w:eastAsia="es-AR" w:bidi="es-AR"/>
        </w:rPr>
        <w:t xml:space="preserve"> del año 2009- implica sostener que para la defensa colectiva de los derechos individuales homogéneos patrimoniales es menester acreditar que la escasa significación económica con relación a cada afectado no justifica la promoción de procesos individuales. Esta línea jurisprudencial, a cuyos fundamentos me remito por razones de brevedad, ha sido sostenida por el Alto Tribunal nacional en numerosas ocasiones posteriores, como el antes mencionado caso "Padec" del año 2013; así como en los precedentes "Unión de Usuarios y Consumidores" y "Consumidores Financieros Asoc. Civil para su defensa" del año 2015 (Fallos: 337:196 y 337:753); "Cepis" del año 2016 (Fallos: 339:1077); "Usuarios y Consumidores Unidos" y "Federación Argentina de Entidades Empresarias del Autotransporte de Carga" (ambos del año 2020, Fallos: 343:637 y 1259, respectivamente). En este orden de ideas, resulta importante remarcar que también esta pauta fue receptada por la Corte Suprema nacional al aprobar el Reglamento de Actuación en Procesos Colectivos aprobado por Acordada 12/2016. …Por lo demás, ya en el ámbito local, cabe reparar en que el recaudo en cuestión se encuentra plasmado en el art. 7 de la ley de amparo (ley 13.928, texto según ley 14.192) al consignar sin ambages que en aquellos promovidos para tutelar intereses individuales homogéneos, </w:t>
      </w:r>
      <w:r>
        <w:rPr>
          <w:i/>
          <w:lang w:val="es-AR" w:eastAsia="es-AR" w:bidi="es-AR"/>
        </w:rPr>
        <w:t xml:space="preserve">"el interés individual no debe justificar la promoción de demandas individuales"</w:t>
      </w:r>
      <w:r>
        <w:rPr>
          <w:lang w:val="es-AR" w:eastAsia="es-AR" w:bidi="es-AR"/>
        </w:rPr>
        <w:t xml:space="preserve">, en una directiva que ha de trasladarse, a falta de previsión expresa en contrario, a cualquier otro proceso que procure defender esos derechos (arg. causa "Padec", cons. 14°). </w:t>
      </w:r>
    </w:p>
    <w:p>
      <w:pPr>
        <w:pStyle w:val="[Normal]"/>
        <w:spacing w:line="360" w:lineRule="auto"/>
        <w:ind w:firstLine="1134"/>
        <w:jc w:val="both"/>
        <w:rPr>
          <w:lang w:val="es-AR" w:eastAsia="es-AR" w:bidi="es-AR"/>
        </w:rPr>
      </w:pPr>
      <w:r>
        <w:rPr>
          <w:lang w:val="es-AR" w:eastAsia="es-AR" w:bidi="es-AR"/>
        </w:rPr>
        <w:t xml:space="preserve">En definitiva, el requisito de que el interés individual homogéneo de tipo patrimonial no debe justificar -considerado aisladamente- la promoción de demandas particulares a efectos de su reclamo colectivo tiene anclaje tanto en la jurisprudencia de este Tribunal como en los precedentes de la Corte Suprema nacional e, incluso, en la propia legislación local (confrontar evolución jurisprudencial en el expte. Nº SI-118432  autos: </w:t>
      </w:r>
      <w:r>
        <w:rPr>
          <w:i/>
          <w:u w:val="single"/>
          <w:lang w:val="es-AR" w:eastAsia="es-AR" w:bidi="es-AR"/>
        </w:rPr>
        <w:t xml:space="preserve">“</w:t>
      </w:r>
      <w:r>
        <w:rPr>
          <w:i/>
          <w:lang w:val="es-AR" w:eastAsia="es-AR" w:bidi="es-AR"/>
        </w:rPr>
        <w:t xml:space="preserve">DIAZ MARIA CARLOTA C/ BANCO DE LA PROVINCIA DE BUENOS AIRES SA  Y OTRO/A S/ DAÑOS Y PERJUICIOS EXTRACONTRACTUAL (EXC. AUTOM./ESTADO)</w:t>
      </w:r>
      <w:r>
        <w:rPr>
          <w:lang w:val="es-AR" w:eastAsia="es-AR" w:bidi="es-AR"/>
        </w:rPr>
        <w:t xml:space="preserve">” de la Cámara de Apelaciones Civil y Comercial del Departamento Judicial de Mercedes, sentencia de fecha 14/7/2021).</w:t>
      </w:r>
    </w:p>
    <w:p>
      <w:pPr>
        <w:pStyle w:val="[Normal]"/>
        <w:spacing w:line="360" w:lineRule="auto"/>
        <w:ind w:firstLine="1134"/>
        <w:jc w:val="both"/>
        <w:rPr>
          <w:lang w:val="es-AR" w:eastAsia="es-AR" w:bidi="es-AR"/>
        </w:rPr>
      </w:pPr>
      <w:r>
        <w:rPr>
          <w:lang w:val="es-AR" w:eastAsia="es-AR" w:bidi="es-AR"/>
        </w:rPr>
        <w:t xml:space="preserve">Tras haber efectuado esta reseña jurisprudencial acerca de los recaudos exigidos para este tipo de acciones, puedo anticipar y concluir  -contrariamente a lo que sostiene el apelante y a pesar de sus esfuerzos de argumentación- que en el caso éstos no se encuentren configurados.  	</w:t>
        <w:br w:type="textWrapping"/>
      </w:r>
      <w:r>
        <w:rPr>
          <w:lang w:val="es-AR" w:eastAsia="es-AR" w:bidi="es-AR"/>
        </w:rPr>
        <w:t xml:space="preserve"> 	Por razones de congruencia y motivación suficiente, desarrollaré estas consideraciones dentro del marco argumental delineado a partir de los agravios vertidos por la parte apelante.</w:t>
      </w:r>
    </w:p>
    <w:p>
      <w:pPr>
        <w:pStyle w:val="[Normal]"/>
        <w:spacing w:line="360" w:lineRule="auto"/>
        <w:ind w:firstLine="1134"/>
        <w:jc w:val="both"/>
        <w:rPr>
          <w:lang w:val="es-AR" w:eastAsia="es-AR" w:bidi="es-AR"/>
        </w:rPr>
      </w:pPr>
      <w:r>
        <w:rPr>
          <w:lang w:val="es-AR" w:eastAsia="es-AR" w:bidi="es-AR"/>
        </w:rPr>
        <w:t xml:space="preserve">I.- La primera cuestión que corresponde abordar se vincula con el agravio dirigido contra el rechazo de la legitimación colectiva de la asociación actora. </w:t>
      </w:r>
    </w:p>
    <w:p>
      <w:pPr>
        <w:pStyle w:val="[Normal]"/>
        <w:spacing w:line="360" w:lineRule="auto"/>
        <w:ind w:firstLine="1134"/>
        <w:jc w:val="both"/>
        <w:rPr>
          <w:lang w:val="es-AR" w:eastAsia="es-AR" w:bidi="es-AR"/>
        </w:rPr>
      </w:pPr>
      <w:r>
        <w:rPr>
          <w:lang w:val="es-AR" w:eastAsia="es-AR" w:bidi="es-AR"/>
        </w:rPr>
        <w:t xml:space="preserve">Sobre este punto, adelanto que el razonamiento del juez de grado no puede ser compartido en todos sus términos, pues la sola circunstancia de que los derechos involucrados sean patrimoniales o divisibles no impide, por sí misma, su tutela colectiva. La categoría de los derechos de incidencia colectiva referentes a intereses individuales homogéneos presupone, precisamente, la existencia de derechos individuales, divisibles y patrimoniales o extrapatrimoniales, cuya defensa conjunta puede resultar admisible cuando la lesión reconoce una causa fáctica o normativa común y la pretensión se encuentra focalizada en los aspectos homogéneos del conflicto.</w:t>
      </w:r>
    </w:p>
    <w:p>
      <w:pPr>
        <w:pStyle w:val="[Normal]"/>
        <w:spacing w:line="360" w:lineRule="auto"/>
        <w:ind w:firstLine="1134"/>
        <w:jc w:val="both"/>
        <w:rPr>
          <w:lang w:val="es-AR" w:eastAsia="es-AR" w:bidi="es-AR"/>
        </w:rPr>
      </w:pPr>
      <w:r>
        <w:rPr>
          <w:lang w:val="es-AR" w:eastAsia="es-AR" w:bidi="es-AR"/>
        </w:rPr>
        <w:t xml:space="preserve">Sin embargo, la corrección parcial de ese fundamento no conduce necesariamente a la admisión del agravio. Ello es así porque, tratándose de intereses individuales homogéneos de contenido patrimonial, la admisibilidad de la vía colectiva no se satisface con la sola existencia de un hecho común, ni con la invocación genérica de una pluralidad de usuarios afectados. </w:t>
      </w:r>
    </w:p>
    <w:p>
      <w:pPr>
        <w:pStyle w:val="[Normal]"/>
        <w:spacing w:line="360" w:lineRule="auto"/>
        <w:ind w:firstLine="1134"/>
        <w:jc w:val="both"/>
        <w:rPr>
          <w:lang w:val="es-AR" w:eastAsia="es-AR" w:bidi="es-AR"/>
        </w:rPr>
      </w:pPr>
      <w:r>
        <w:rPr>
          <w:lang w:val="es-AR" w:eastAsia="es-AR" w:bidi="es-AR"/>
        </w:rPr>
        <w:t xml:space="preserve">Conforme la doctrina elaborada por la Corte Suprema de Justicia de la Nación a partir de “Halabi” y posteriormente desarrollada en “Padec” y en los precedentes dictados en materia de consumo a los que he hecho referencia anteriormente, se requiere además que el ejercicio individual de la acción no aparezca plenamente justificado, ya sea por la escasa significación económica del reclamo individual o por la existencia de circunstancias que tornen irrazonable o manifiestamente inconveniente exigir a cada integrante del grupo la promoción de su propio proceso.</w:t>
      </w:r>
    </w:p>
    <w:p>
      <w:pPr>
        <w:pStyle w:val="[Normal]"/>
        <w:spacing w:line="360" w:lineRule="auto"/>
        <w:ind w:firstLine="1134"/>
        <w:jc w:val="both"/>
        <w:rPr>
          <w:lang w:val="es-AR" w:eastAsia="es-AR" w:bidi="es-AR"/>
        </w:rPr>
      </w:pPr>
      <w:r>
        <w:rPr>
          <w:lang w:val="es-AR" w:eastAsia="es-AR" w:bidi="es-AR"/>
        </w:rPr>
        <w:t xml:space="preserve">Este recaudo no constituye una exigencia meramente formal. Su función es delimitar el ámbito propio de la acción colectiva y evitar que ella se transforme en un mecanismo de sustitución general de acciones individuales económicamente viables y procesalmente disponibles. La representación colectiva se justifica cuando opera como instrumento necesario o conveniente para garantizar el acceso a justicia de sujetos que, de otro modo, difícilmente promoverían reclamos aislados por la desproporción entre el costo del litigio y la utilidad económica esperada. Pero cuando la pretensión individual posee una entidad económica suficiente para justificar razonablemente la promoción de acciones particulares, el fundamento constitucional de la representación global se debilita sensiblemente.</w:t>
      </w:r>
    </w:p>
    <w:p>
      <w:pPr>
        <w:pStyle w:val="[Normal]"/>
        <w:spacing w:line="360" w:lineRule="auto"/>
        <w:ind w:firstLine="1134"/>
        <w:jc w:val="both"/>
        <w:rPr>
          <w:lang w:val="es-AR" w:eastAsia="es-AR" w:bidi="es-AR"/>
        </w:rPr>
      </w:pPr>
      <w:r>
        <w:rPr>
          <w:lang w:val="es-AR" w:eastAsia="es-AR" w:bidi="es-AR"/>
        </w:rPr>
        <w:t xml:space="preserve">Desde esa perspectiva, el caso presenta una dificultad que no puede ser soslayada. La propia demanda reclamó, por cada usuario, la suma de pesos tres mil ($3.000) en concepto de daño moral individual homogéneo y la suma de pesos dos mil doscientos ($2.200) en concepto de daño punitivo individual homogéneo, sin perjuicio del daño patrimonial también pretendido. Es decir, la pretensión individual ascendía ya en el año 2013, cuanto menos, a pesos cinco mil doscientos ($5.200) por usuario, monto que actualizado conforme el índice IPC (índice de precios al consumidor) representa una suma actual aproximada de pesos un millón setecientos veintinueve mil quinientos cincuenta y tres con sesenta y un centavos ($1.729.553,61), lo que -al menos desde una perspectiva económica-, podemos afirmar que justifica suficientemente la intervención individual.</w:t>
      </w:r>
    </w:p>
    <w:p>
      <w:pPr>
        <w:pStyle w:val="[Normal]"/>
        <w:spacing w:line="360" w:lineRule="auto"/>
        <w:ind w:firstLine="1134"/>
        <w:jc w:val="both"/>
        <w:rPr>
          <w:lang w:val="es-AR" w:eastAsia="es-AR" w:bidi="es-AR"/>
        </w:rPr>
      </w:pPr>
      <w:r>
        <w:rPr>
          <w:lang w:val="es-AR" w:eastAsia="es-AR" w:bidi="es-AR"/>
        </w:rPr>
        <w:t xml:space="preserve">Cabe prevenir que esta estimación no comporta una pretensión de indexación prohibida, ni supone liquidar o actualizar judicialmente crédito alguno; sólo cumple una función instrumental para examinar, en términos económicamente reales, si el interés individual comprometido justificaba o no la promoción de acciones particulares. </w:t>
      </w:r>
    </w:p>
    <w:p>
      <w:pPr>
        <w:pStyle w:val="[Normal]"/>
        <w:spacing w:line="360" w:lineRule="auto"/>
        <w:ind w:firstLine="1134"/>
        <w:jc w:val="both"/>
        <w:rPr>
          <w:lang w:val="es-AR" w:eastAsia="es-AR" w:bidi="es-AR"/>
        </w:rPr>
      </w:pPr>
      <w:r>
        <w:rPr>
          <w:lang w:val="es-AR" w:eastAsia="es-AR" w:bidi="es-AR"/>
        </w:rPr>
        <w:t xml:space="preserve">Es que tal examen no puede quedar atado a importes históricos puramente nominales que, por el transcurso del tiempo y la variación sustancial del poder adquisitivo de la moneda, ya no expresan adecuadamente la entidad económica actual del reclamo. Desde esta óptica, la magnitud económica involucrada impide afirmar, sin una demostración adicional concreta, que el reclamo individual careciera de justificación suficiente o que el acceso a justicia de cada usuario se encontrara seriamente comprometido por la necesidad de accionar individualmente.</w:t>
      </w:r>
    </w:p>
    <w:p>
      <w:pPr>
        <w:pStyle w:val="[Normal]"/>
        <w:spacing w:line="360" w:lineRule="auto"/>
        <w:ind w:firstLine="1134"/>
        <w:jc w:val="both"/>
        <w:rPr>
          <w:lang w:val="es-AR" w:eastAsia="es-AR" w:bidi="es-AR"/>
        </w:rPr>
      </w:pPr>
      <w:r>
        <w:rPr>
          <w:lang w:val="es-AR" w:eastAsia="es-AR" w:bidi="es-AR"/>
        </w:rPr>
        <w:t xml:space="preserve">En cuanto al baremo utilizado, es dable señalar que la utilización del Índice de Precios al Consumidor como parámetro de referencia se justifica por tratarse de un indicador oficial, público, periódico y técnicamente elaborado por el organismo estatal competente para medir la variación de precios de los bienes y servicios representativos del gasto de consumo de los hogares. El propio INDEC define al IPC como el índice destinado a medir la variación de precios de una canasta representativa del consumo de los hogares residentes.</w:t>
      </w:r>
    </w:p>
    <w:p>
      <w:pPr>
        <w:pStyle w:val="[Normal]"/>
        <w:spacing w:line="360" w:lineRule="auto"/>
        <w:ind w:firstLine="1134"/>
        <w:jc w:val="both"/>
        <w:rPr>
          <w:lang w:val="es-AR" w:eastAsia="es-AR" w:bidi="es-AR"/>
        </w:rPr>
      </w:pPr>
      <w:r>
        <w:rPr>
          <w:lang w:val="es-AR" w:eastAsia="es-AR" w:bidi="es-AR"/>
        </w:rPr>
        <w:t xml:space="preserve">En tal sentido, su empleo no obedece a la finalidad de actualizar un crédito ni de establecer una condena dineraria indexada, sino únicamente a contar con una pauta objetiva y verificable que permita apreciar la significación económica real del reclamo individual. La evaluación del requisito de no justificación de la acción individual exige ponderar si la cuantía comprometida reviste o no entidad suficiente para tornar razonable la promoción de un proceso singular. Para ello, resulta metodológicamente más adecuado acudir a un índice oficial de precios que refleje la pérdida del poder adquisitivo de la moneda, antes que tomar aisladamente una suma nominal histórica que ha quedado desprovista de aptitud representativa frente al tiempo transcurrido y al contexto inflacionario.</w:t>
      </w:r>
    </w:p>
    <w:p>
      <w:pPr>
        <w:pStyle w:val="[Normal]"/>
        <w:spacing w:line="360" w:lineRule="auto"/>
        <w:ind w:firstLine="1134"/>
        <w:jc w:val="both"/>
        <w:rPr>
          <w:lang w:val="es-AR" w:eastAsia="es-AR" w:bidi="es-AR"/>
        </w:rPr>
      </w:pPr>
      <w:r>
        <w:rPr>
          <w:lang w:val="es-AR" w:eastAsia="es-AR" w:bidi="es-AR"/>
        </w:rPr>
        <w:t xml:space="preserve">En punto a la relación existente entre la teoría de los hechos notorios y las facultades judiciales, la Cámara Primera de Apelaciones en lo Civil y Comercial de La Plata ha dicho que: </w:t>
      </w:r>
      <w:r>
        <w:rPr>
          <w:i/>
          <w:lang w:val="es-AR" w:eastAsia="es-AR" w:bidi="es-AR"/>
        </w:rPr>
        <w:t xml:space="preserve">"Pueden considerarse hechos notorios aquellos que entran en conocimiento, la cultura y la información normal de los individuos, con relación a un lugar y un círculo social y a un momento determinado en el tiempo en que ocurre la decisión. En el campo de la fijación y la aplicación de los hechos notorios, como de las máximas de la experiencia, el juez puede, con la más absoluta libertad, no sólo servirse de su ciencia privada, sino, además, hacer, en los campos técnicos más alejados de su cultura normal, todas las investigaciones necesarias para adquirir directamente y sin la intervención de peritos las nociones de que carece"</w:t>
      </w:r>
      <w:r>
        <w:rPr>
          <w:lang w:val="es-AR" w:eastAsia="es-AR" w:bidi="es-AR"/>
        </w:rPr>
        <w:t xml:space="preserve"> (Cámara Primera de Apelaciones en lo Civil y Comercial de La Plata, Sala III, 25-9-73, E.D. 51-409).</w:t>
      </w:r>
    </w:p>
    <w:p>
      <w:pPr>
        <w:pStyle w:val="[Normal]"/>
        <w:spacing w:line="360" w:lineRule="auto"/>
        <w:ind w:firstLine="1134"/>
        <w:jc w:val="both"/>
        <w:rPr>
          <w:lang w:val="es-AR" w:eastAsia="es-AR" w:bidi="es-AR"/>
        </w:rPr>
      </w:pPr>
      <w:r>
        <w:rPr>
          <w:lang w:val="es-AR" w:eastAsia="es-AR" w:bidi="es-AR"/>
        </w:rPr>
        <w:t xml:space="preserve">Entiéndase bien, no se sostiene a partir de lo dicho que la conveniencia de la acción colectiva deba medirse exclusivamente por el importe  reclamado. También pueden incidir los costos de litigación, la complejidad probatoria, la dispersión de los afectados, la asimetría informativa frente al proveedor y el eventual riesgo de multiplicación de procesos. Pero tales circunstancias deben ser acreditadas o, al menos, surgir con suficiente evidencia de las constancias de la causa. </w:t>
      </w:r>
    </w:p>
    <w:p>
      <w:pPr>
        <w:pStyle w:val="[Normal]"/>
        <w:spacing w:line="360" w:lineRule="auto"/>
        <w:ind w:firstLine="1134"/>
        <w:jc w:val="both"/>
        <w:rPr>
          <w:lang w:val="es-AR" w:eastAsia="es-AR" w:bidi="es-AR"/>
        </w:rPr>
      </w:pPr>
      <w:r>
        <w:rPr>
          <w:lang w:val="es-AR" w:eastAsia="es-AR" w:bidi="es-AR"/>
        </w:rPr>
        <w:t xml:space="preserve">Al respecto, calificada doctrina ha destacado con base en la jurisprudencia de la Corte Nacional: </w:t>
      </w:r>
      <w:r>
        <w:rPr>
          <w:i/>
          <w:lang w:val="es-AR" w:eastAsia="es-AR" w:bidi="es-AR"/>
        </w:rPr>
        <w:t xml:space="preserve">"el carácter subsidiario de la acción colectiva"</w:t>
      </w:r>
      <w:r>
        <w:rPr>
          <w:lang w:val="es-AR" w:eastAsia="es-AR" w:bidi="es-AR"/>
        </w:rPr>
        <w:t xml:space="preserve"> para el caso de los reclamos de tutela de intereses individuales homogéneos. De ahí que la mayor idoneidad o eficiencia que debe tener la vía colectiva sobre el reclamo individual en este tipo de casos debe ser alegada y acreditada suficientemente para justificar la legitimación colectiva (Cf. VARGAS, Abraham Luis, La legitimación activa en los procesos colectivos, en Acciones colectivas, Revista de Derecho Privado y Comunitario. Ed. Rubinzal Culzoni Editores, pág. 80).  </w:t>
      </w:r>
    </w:p>
    <w:p>
      <w:pPr>
        <w:pStyle w:val="[Normal]"/>
        <w:spacing w:line="360" w:lineRule="auto"/>
        <w:ind w:firstLine="1134"/>
        <w:jc w:val="both"/>
        <w:rPr>
          <w:lang w:val="es-AR" w:eastAsia="es-AR" w:bidi="es-AR"/>
        </w:rPr>
      </w:pPr>
      <w:r>
        <w:rPr>
          <w:lang w:val="es-AR" w:eastAsia="es-AR" w:bidi="es-AR"/>
        </w:rPr>
        <w:t xml:space="preserve">En el presente caso, la parte actora no ha demostrado que la promoción de reclamos individuales resultara económicamente irrazonable, ni que los usuarios afectados se hallaran en una situación de imposibilidad o grave dificultad práctica de acudir por sí mismos a la jurisdicción. Y toda vez que tales circunstancias operan como fundamento de su pretensión, la carga de la prueba recae sobre sus espaldas (art. 375 del C.P.C. y C.).</w:t>
      </w:r>
    </w:p>
    <w:p>
      <w:pPr>
        <w:pStyle w:val="[Normal]"/>
        <w:spacing w:line="360" w:lineRule="auto"/>
        <w:ind w:firstLine="1134"/>
        <w:jc w:val="both"/>
        <w:rPr>
          <w:lang w:val="es-AR" w:eastAsia="es-AR" w:bidi="es-AR"/>
        </w:rPr>
      </w:pPr>
      <w:r>
        <w:rPr>
          <w:lang w:val="es-AR" w:eastAsia="es-AR" w:bidi="es-AR"/>
        </w:rPr>
        <w:t xml:space="preserve">A ello se suma otro dato relevante. Los rubros reclamados no se reducen a la restitución aritmética de un cargo indebidamente cobrado o a la devolución uniforme de una suma fácilmente identificable en los registros del proveedor. Por el contrario, la pretensión deducida comprende daño patrimonial, daño moral y daño punitivo individual homogéneo. Tales conceptos, por su propia configuración, exigen determinar no sólo la existencia de un incumplimiento común, sino también quiénes fueron efectivamente damnificados, cuál fue la intensidad y duración de la afectación sufrida por cada uno, qué modalidad contractual poseían, qué uso realizaron o intentaron realizar del servicio, qué compensaciones recibieron eventualmente y cuál fue la concreta incidencia patrimonial o extrapatrimonial del hecho en cada caso.</w:t>
      </w:r>
    </w:p>
    <w:p>
      <w:pPr>
        <w:pStyle w:val="[Normal]"/>
        <w:spacing w:line="360" w:lineRule="auto"/>
        <w:ind w:firstLine="1134"/>
        <w:jc w:val="both"/>
        <w:rPr>
          <w:lang w:val="es-AR" w:eastAsia="es-AR" w:bidi="es-AR"/>
        </w:rPr>
      </w:pPr>
      <w:r>
        <w:rPr>
          <w:lang w:val="es-AR" w:eastAsia="es-AR" w:bidi="es-AR"/>
        </w:rPr>
        <w:t xml:space="preserve">Esta circunstancia no significa negar que pueda existir una causa común. La interrupción o deficiente prestación del servicio de telefonía móvil atribuida a AMX en la ciudad de Colón constituye, en principio, un hecho homogéneo susceptible de afectar a una pluralidad de usuarios. Pero la existencia de una causa común no basta cuando la pretensión no se limita a la declaración de ilicitud, abusividad contractual o responsabilidad genérica, sino que persigue una condena dineraria individual en favor de cada integrante del colectivo. Para arribar a esa condena era necesario contar con una base objetiva que permitiera identificar a los beneficiarios, determinar la afectación sufrida y liquidar el perjuicio sin sustituir la prueba individual por una presunción general.</w:t>
      </w:r>
    </w:p>
    <w:p>
      <w:pPr>
        <w:pStyle w:val="[Normal]"/>
        <w:spacing w:line="360" w:lineRule="auto"/>
        <w:ind w:firstLine="1134"/>
        <w:jc w:val="both"/>
        <w:rPr>
          <w:lang w:val="es-AR" w:eastAsia="es-AR" w:bidi="es-AR"/>
        </w:rPr>
      </w:pPr>
      <w:r>
        <w:rPr>
          <w:lang w:val="es-AR" w:eastAsia="es-AR" w:bidi="es-AR"/>
        </w:rPr>
        <w:t xml:space="preserve">En esa línea, se ha señalado que, en los procesos colectivos de responsabilidad por daños relativos a intereses individuales homogéneos, coexisten elementos comunes de hecho y de derecho con elementos diferenciados en cada una de las situaciones particulares. Y que el elemento típicamente diferenciado es, precisamente, el daño resarcible, que en la generalidad de los supuestos exhibirá sesgos y matices singulares. Ese imperativo no impide, en abstracto, la realización de un proceso colectivo, pero sí exige adoptar mecanismos específicos de determinación y cuantificación singular de los daños (Cf. MOREA, Adrián Oscar, </w:t>
      </w:r>
      <w:r>
        <w:rPr>
          <w:i/>
          <w:lang w:val="es-AR" w:eastAsia="es-AR" w:bidi="es-AR"/>
        </w:rPr>
        <w:t xml:space="preserve">“La acción de clase y el efecto expansivo de la cosa juzgada”</w:t>
      </w:r>
      <w:r>
        <w:rPr>
          <w:lang w:val="es-AR" w:eastAsia="es-AR" w:bidi="es-AR"/>
        </w:rPr>
        <w:t xml:space="preserve">, publicado por la Editorial El Derecho (ED Litoral – El Derecho Digital – Diario Rosario). </w:t>
      </w:r>
    </w:p>
    <w:p>
      <w:pPr>
        <w:pStyle w:val="[Normal]"/>
        <w:spacing w:line="360" w:lineRule="auto"/>
        <w:ind w:firstLine="1134"/>
        <w:jc w:val="both"/>
        <w:rPr>
          <w:lang w:val="es-AR" w:eastAsia="es-AR" w:bidi="es-AR"/>
        </w:rPr>
      </w:pPr>
      <w:r>
        <w:rPr>
          <w:lang w:val="es-AR" w:eastAsia="es-AR" w:bidi="es-AR"/>
        </w:rPr>
        <w:t xml:space="preserve">Trasladada esta premisa al caso, se advierte que la demanda no se limitó a obtener una declaración común de responsabilidad, ni a remover una cláusula contractual abusiva, ni a reclamar la restitución uniforme de una suma indebidamente cobrada a todos los usuarios. Por el contrario, la asociación actora pretendió una condena por daño patrimonial, daño moral y daño punitivo individual homogéneo a favor de los usuarios presuntamente afectados por la interrupción o deficiente prestación del servicio de telefonía móvil. Esa pretensión requería, entonces, algo más que la acreditación del hecho común: exigía demostrar una base objetiva que permitiera identificar a los damnificados, establecer la existencia del perjuicio en cada caso y arbitrar un mecanismo razonable de cuantificación individual.</w:t>
      </w:r>
    </w:p>
    <w:p>
      <w:pPr>
        <w:pStyle w:val="[Normal]"/>
        <w:spacing w:line="360" w:lineRule="auto"/>
        <w:ind w:firstLine="1134"/>
        <w:jc w:val="both"/>
        <w:rPr>
          <w:lang w:val="es-AR" w:eastAsia="es-AR" w:bidi="es-AR"/>
        </w:rPr>
      </w:pPr>
      <w:r>
        <w:rPr>
          <w:lang w:val="es-AR" w:eastAsia="es-AR" w:bidi="es-AR"/>
        </w:rPr>
        <w:t xml:space="preserve">En lo que respecta al daño patrimonial, es cierto que, en abstracto, este tipo de perjuicio puede admitir con mayor facilidad un tratamiento colectivo cuando deriva de una operación común, objetiva y aritméticamente verificable (art. 1738 del CCyC). Tal sería el caso, por ejemplo, de la restitución de un cargo indebidamente cobrado a todos los usuarios en igual proporción, o de la devolución de sumas identificables en los registros del proveedor. Sin embargo, no es ello lo que se verifica con suficiente nitidez en la especie. La afectación patrimonial aquí invocada no se reduce a un débito uniforme aplicado a todos los usuarios por igual o conforme una lógica común, sino a los perjuicios derivados de la interrupción o deficiente prestación del servicio de telefonía móvil, cuya configuración exige determinar, al menos, quiénes eran usuarios alcanzados por la falla, bajo qué modalidad contractual se encontraban vinculados, durante qué lapso se vieron efectivamente afectados, si abonaron o no sumas correspondientes al período de interrupción, si contaban con saldo disponible en el caso de líneas prepagas, si se les debitaron comunicaciones no concretadas y si recibieron compensaciones previas.</w:t>
      </w:r>
    </w:p>
    <w:p>
      <w:pPr>
        <w:pStyle w:val="[Normal]"/>
        <w:spacing w:line="360" w:lineRule="auto"/>
        <w:ind w:firstLine="1134"/>
        <w:jc w:val="both"/>
        <w:rPr>
          <w:lang w:val="es-AR" w:eastAsia="es-AR" w:bidi="es-AR"/>
        </w:rPr>
      </w:pPr>
      <w:r>
        <w:rPr>
          <w:lang w:val="es-AR" w:eastAsia="es-AR" w:bidi="es-AR"/>
        </w:rPr>
        <w:t xml:space="preserve">De allí que el daño patrimonial, aunque conceptualmente más susceptible de objetivación que otros rubros, tampoco aparece en el caso como un perjuicio perfectamente uniforme, divisible en partes iguales o, al menos, determinable mediante una fórmula común ya configurada en autos. La sola existencia de una interrupción del servicio puede constituir un elemento común relevante, pero no permite, sin más, inferir la existencia, entidad y extensión del daño patrimonial de cada usuario. Para arribar a una condena colectiva por este concepto era necesario contar con una base objetiva de identificación y liquidación que permitiera traducir el incumplimiento común en una reparación individual concreta, sin desplazar indebidamente la carga de acreditar el perjuicio resarcible.</w:t>
      </w:r>
    </w:p>
    <w:p>
      <w:pPr>
        <w:pStyle w:val="[Normal]"/>
        <w:spacing w:line="360" w:lineRule="auto"/>
        <w:ind w:firstLine="1134"/>
        <w:jc w:val="both"/>
        <w:rPr>
          <w:lang w:val="es-AR" w:eastAsia="es-AR" w:bidi="es-AR"/>
        </w:rPr>
      </w:pPr>
      <w:r>
        <w:rPr>
          <w:lang w:val="es-AR" w:eastAsia="es-AR" w:bidi="es-AR"/>
        </w:rPr>
        <w:t xml:space="preserve">Esta dificultad se presenta con aún mayor intensidad respecto del daño moral (art. 1741 del CCyC). Este rubro, por su propia naturaleza, remite a la afectación extrapatrimonial sufrida por cada persona en su esfera espiritual, tranquilidad, afecciones legítimas o modo de estar. Aun cuando pueda admitirse que una falla generalizada en el servicio de telefonía móvil pudo ocasionar molestias, incomodidades o contratiempos a los usuarios, no se sigue de ello que todos hayan padecido una lesión extrapatrimonial jurídicamente resarcible, ni mucho menos que esa lesión haya tenido igual intensidad en cada caso. La repercusión subjetiva de la interrupción pudo variar sensiblemente según las circunstancias personales de cada usuario, el uso habitual del servicio, la existencia de medios alternativos de comunicación, la necesidad concreta de comunicarse durante el período afectado, la eventual vinculación con actividades laborales, familiares, sanitarias o de emergencia, y la duración real de la imposibilidad de uso en cada supuesto.</w:t>
      </w:r>
    </w:p>
    <w:p>
      <w:pPr>
        <w:pStyle w:val="[Normal]"/>
        <w:spacing w:line="360" w:lineRule="auto"/>
        <w:ind w:firstLine="1134"/>
        <w:jc w:val="both"/>
        <w:rPr>
          <w:lang w:val="es-AR" w:eastAsia="es-AR" w:bidi="es-AR"/>
        </w:rPr>
      </w:pPr>
      <w:r>
        <w:rPr>
          <w:lang w:val="es-AR" w:eastAsia="es-AR" w:bidi="es-AR"/>
        </w:rPr>
        <w:t xml:space="preserve">En este punto, la homogeneidad del hecho generador no absorbe la heterogeneidad del perjuicio. El daño moral no puede presumirse de modo automático por la sola pertenencia al colectivo de clientes de AMX en la ciudad de Colón, pues ello importaría transformar una molestia general o una situación disvaliosa común en una reparación extrapatrimonial uniforme, sin examen de la afectación singular de cada damnificado. La pretensión actoral, tal como fue articulada, no aporta un criterio objetivo que permita determinar qué usuarios sufrieron efectivamente una lesión moral resarcible, ni en qué medida, ni por qué todos deberían recibir una suma común o equivalente. Por ello, aun admitiendo la existencia de una causa fáctica común, el rubro exigía una acreditación individual que no aparece satisfecha ni sustituida por un mecanismo procesal de alcance colectivo-</w:t>
      </w:r>
    </w:p>
    <w:p>
      <w:pPr>
        <w:pStyle w:val="[Normal]"/>
        <w:spacing w:line="360" w:lineRule="auto"/>
        <w:ind w:firstLine="1134"/>
        <w:jc w:val="both"/>
        <w:rPr>
          <w:lang w:val="es-AR" w:eastAsia="es-AR" w:bidi="es-AR"/>
        </w:rPr>
      </w:pPr>
      <w:r>
        <w:rPr>
          <w:lang w:val="es-AR" w:eastAsia="es-AR" w:bidi="es-AR"/>
        </w:rPr>
        <w:t xml:space="preserve">Por último, en cuanto al daño punitivo, corresponde efectuar una precisión adicional. Aunque se lo denomine usualmente </w:t>
      </w:r>
      <w:r>
        <w:rPr>
          <w:i/>
          <w:lang w:val="es-AR" w:eastAsia="es-AR" w:bidi="es-AR"/>
        </w:rPr>
        <w:t xml:space="preserve">“daño”</w:t>
      </w:r>
      <w:r>
        <w:rPr>
          <w:lang w:val="es-AR" w:eastAsia="es-AR" w:bidi="es-AR"/>
        </w:rPr>
        <w:t xml:space="preserve">, el instituto previsto en el art. 52 bis de la Ley de Defensa del Consumidor no tiene naturaleza estrictamente resarcitoria, sino sancionatoria, disuasiva y preventiva. Su procedencia se vincula centralmente con la gravedad de la conducta del proveedor, el grado de reproche que merece su actuación y la necesidad de desalentar prácticas semejantes. En ese aspecto, podría pensarse que el rubro presenta una dimensión común más intensa que los daños patrimonial y moral, pues la conducta atribuida a AMX -la deficiente prestación del servicio, el modo de informar o compensar y la eventual insuficiencia de sus respuestas- sería, en principio, evaluable desde una perspectiva colectiva.</w:t>
      </w:r>
    </w:p>
    <w:p>
      <w:pPr>
        <w:pStyle w:val="[Normal]"/>
        <w:spacing w:line="360" w:lineRule="auto"/>
        <w:ind w:firstLine="1134"/>
        <w:jc w:val="both"/>
        <w:rPr>
          <w:lang w:val="es-AR" w:eastAsia="es-AR" w:bidi="es-AR"/>
        </w:rPr>
      </w:pPr>
      <w:r>
        <w:rPr>
          <w:lang w:val="es-AR" w:eastAsia="es-AR" w:bidi="es-AR"/>
        </w:rPr>
        <w:t xml:space="preserve">No obstante, esa particularidad no elimina las exigencias propias del caso. La actora no solicitó simplemente la aplicación de una sanción civil global con destino institucional o colectivo, sino una multa punitiva individual homogénea a favor de cada usuario afectado. En esos términos, la pretensión vuelve a requerir la identificación de los sujetos beneficiarios, la determinación de quiénes revisten efectivamente la condición de damnificados alcanzados por la conducta reprochada y la existencia de una base que permita justificar la distribución individual de la multa. La dimensión sancionatoria del instituto puede ser común, pero su reconocimiento en favor de una pluralidad de consumidores determinados o determinables no prescinde de la necesidad de precisar el universo de destinatarios y el vínculo concreto de cada uno con el hecho dañoso.</w:t>
      </w:r>
    </w:p>
    <w:p>
      <w:pPr>
        <w:pStyle w:val="[Normal]"/>
        <w:spacing w:line="360" w:lineRule="auto"/>
        <w:ind w:firstLine="1134"/>
        <w:jc w:val="both"/>
        <w:rPr>
          <w:lang w:val="es-AR" w:eastAsia="es-AR" w:bidi="es-AR"/>
        </w:rPr>
      </w:pPr>
      <w:r>
        <w:rPr>
          <w:lang w:val="es-AR" w:eastAsia="es-AR" w:bidi="es-AR"/>
        </w:rPr>
        <w:t xml:space="preserve">A ello se añade que la procedencia del daño punitivo, aun en materia de consumo, no opera de modo automático frente a cualquier incumplimiento contractual o legal. Exige ponderar la gravedad de la conducta, su eventual reiteración, la posición del proveedor, el beneficio obtenido o procurado, el menosprecio por los derechos del consumidor y las demás circunstancias del caso. Esos extremos pueden tener una base común, pero cuando la pretensión se formula como una condena individual homogénea por usuario, el órgano judicial necesita contar con un esquema que permita traducir esa valoración común en una consecuencia jurídica aplicable a sujetos concretamente identificados. Esa estructura tampoco aparece suficientemente delineada en la demanda ni abastecida por la prueba producida.</w:t>
      </w:r>
    </w:p>
    <w:p>
      <w:pPr>
        <w:pStyle w:val="[Normal]"/>
        <w:spacing w:line="360" w:lineRule="auto"/>
        <w:ind w:firstLine="1134"/>
        <w:jc w:val="both"/>
        <w:rPr>
          <w:lang w:val="es-AR" w:eastAsia="es-AR" w:bidi="es-AR"/>
        </w:rPr>
      </w:pPr>
      <w:r>
        <w:rPr>
          <w:lang w:val="es-AR" w:eastAsia="es-AR" w:bidi="es-AR"/>
        </w:rPr>
        <w:t xml:space="preserve">En perspectiva global, advierto entonces que no se ha demostrado que los daños reclamados resulten perfectamente uniformes, ni que puedan ser determinados mediante una fórmula común aplicable indistintamente a todos los integrantes del grupo.</w:t>
      </w:r>
    </w:p>
    <w:p>
      <w:pPr>
        <w:pStyle w:val="[Normal]"/>
        <w:spacing w:line="360" w:lineRule="auto"/>
        <w:ind w:firstLine="1134"/>
        <w:jc w:val="both"/>
        <w:rPr>
          <w:lang w:val="es-AR" w:eastAsia="es-AR" w:bidi="es-AR"/>
        </w:rPr>
      </w:pPr>
      <w:r>
        <w:rPr>
          <w:lang w:val="es-AR" w:eastAsia="es-AR" w:bidi="es-AR"/>
        </w:rPr>
        <w:t xml:space="preserve">Esta falencia no es meramente procesal, sino también sustancial. El art. 1739 del Código Civil y Comercial exige que el daño sea cierto, personal y subsistente. De ello se sigue que la reparación no puede fundarse en un daño conjetural, abstracto o meramente presumido a partir de la sola pertenencia a un grupo, sino que debe traducirse en una afectación cierta, verificable y atribuible a sujetos determinados o, al menos, objetivamente determinables. Al decir de Galdós, </w:t>
      </w:r>
      <w:r>
        <w:rPr>
          <w:i/>
          <w:lang w:val="es-AR" w:eastAsia="es-AR" w:bidi="es-AR"/>
        </w:rPr>
        <w:t xml:space="preserve">"la certeza, certidumbre o realidad del daño alude a su existencia; debe ser real y efectivo, por oposición al daño hipotético o conjetural"</w:t>
      </w:r>
      <w:r>
        <w:rPr>
          <w:lang w:val="es-AR" w:eastAsia="es-AR" w:bidi="es-AR"/>
        </w:rPr>
        <w:t xml:space="preserve"> (GALDOS, Jorge Mario, La responsabilidad civil - Análisis exegético, doctrinal y jurisprudencial: arts. 1708 a 1780 CCCN, Ed. Rubinzal Culzoni Editores, Santa Fe, 2021, Tomo II, pág, 318).</w:t>
      </w:r>
    </w:p>
    <w:p>
      <w:pPr>
        <w:pStyle w:val="[Normal]"/>
        <w:spacing w:line="360" w:lineRule="auto"/>
        <w:ind w:firstLine="1134"/>
        <w:jc w:val="both"/>
        <w:rPr>
          <w:lang w:val="es-AR" w:eastAsia="es-AR" w:bidi="es-AR"/>
        </w:rPr>
      </w:pPr>
      <w:r>
        <w:rPr>
          <w:lang w:val="es-AR" w:eastAsia="es-AR" w:bidi="es-AR"/>
        </w:rPr>
        <w:t xml:space="preserve">En los procesos colectivos de intereses individuales homogéneos, la certidumbre del daño puede acreditarse mediante mecanismos comunes cuando la lesión deriva de una operación uniforme y objetivable -por ejemplo, un cobro indebido aplicado a todos los usuarios bajo una misma pauta-. Pero cuando el perjuicio invocado depende de circunstancias variables de cada integrante del colectivo, la certeza no puede tenerse por configurada en bloque. En tales supuestos, la causa común del daño no equivale a prueba común del daño resarcible.</w:t>
      </w:r>
    </w:p>
    <w:p>
      <w:pPr>
        <w:pStyle w:val="[Normal]"/>
        <w:spacing w:line="360" w:lineRule="auto"/>
        <w:ind w:firstLine="1134"/>
        <w:jc w:val="both"/>
        <w:rPr>
          <w:lang w:val="es-AR" w:eastAsia="es-AR" w:bidi="es-AR"/>
        </w:rPr>
      </w:pPr>
      <w:r>
        <w:rPr>
          <w:lang w:val="es-AR" w:eastAsia="es-AR" w:bidi="es-AR"/>
        </w:rPr>
        <w:t xml:space="preserve">Entrando nuevamente al caso particular, es posible referir que la interrupción o deficiente prestación del servicio puede constituir un hecho común relevante para examinar la conducta de AMX, pero no basta, por sí sola, para tener por ciertos todos los daños patrimoniales, morales y punitivos reclamados a favor de cada usuario. Para que la condena colectiva resultara procedente, era necesario contar con una base objetiva que permitiera establecer, con grado suficiente de certeza, quiénes sufrieron una afectación patrimonial resarcible, quiénes padecieron una lesión extrapatrimonial jurídicamente relevante y quiénes podían ser beneficiarios de una multa punitiva individual homogénea.</w:t>
      </w:r>
    </w:p>
    <w:p>
      <w:pPr>
        <w:pStyle w:val="[Normal]"/>
        <w:spacing w:line="360" w:lineRule="auto"/>
        <w:ind w:firstLine="1134"/>
        <w:jc w:val="both"/>
        <w:rPr>
          <w:lang w:val="es-AR" w:eastAsia="es-AR" w:bidi="es-AR"/>
        </w:rPr>
      </w:pPr>
      <w:r>
        <w:rPr>
          <w:lang w:val="es-AR" w:eastAsia="es-AR" w:bidi="es-AR"/>
        </w:rPr>
        <w:t xml:space="preserve">De lo contrario, se correría el riesgo de sustituir el requisito legal de certeza del daño por una presunción general de afectación, incompatible con el sistema de responsabilidad civil. La homogeneidad de la causa fáctica puede habilitar el tratamiento colectivo de ciertos aspectos del litigio, pero no dispensa la acreditación del daño cierto cuando la pretensión deducida persigue una condena dineraria individual en favor de los integrantes del grupo. Por tal razón, la ausencia de uniformidad y de una fórmula objetiva de determinación no sólo impide una adecuada gestión procesal de la acción colectiva, sino que también obsta a tener por satisfecho el presupuesto sustancial del daño resarcible.</w:t>
      </w:r>
    </w:p>
    <w:p>
      <w:pPr>
        <w:pStyle w:val="[Normal]"/>
        <w:spacing w:line="360" w:lineRule="auto"/>
        <w:ind w:firstLine="1134"/>
        <w:jc w:val="both"/>
        <w:rPr>
          <w:lang w:val="es-AR" w:eastAsia="es-AR" w:bidi="es-AR"/>
        </w:rPr>
      </w:pPr>
      <w:r>
        <w:rPr>
          <w:lang w:val="es-AR" w:eastAsia="es-AR" w:bidi="es-AR"/>
        </w:rPr>
        <w:t xml:space="preserve">En otro orden, tampoco se advierte que los usuarios presuntamente afectados se hayan incorporado al proceso en una etapa que permita individualizar la afectación concreta padecida por cada uno. </w:t>
      </w:r>
    </w:p>
    <w:p>
      <w:pPr>
        <w:pStyle w:val="[Normal]"/>
        <w:spacing w:line="360" w:lineRule="auto"/>
        <w:ind w:firstLine="1134"/>
        <w:jc w:val="both"/>
        <w:rPr>
          <w:lang w:val="es-AR" w:eastAsia="es-AR" w:bidi="es-AR"/>
        </w:rPr>
      </w:pPr>
      <w:r>
        <w:rPr>
          <w:lang w:val="es-AR" w:eastAsia="es-AR" w:bidi="es-AR"/>
        </w:rPr>
        <w:t xml:space="preserve">La notificación colectiva satisface una garantía de publicidad y participación, pero no convierte automáticamente una pluralidad de perjuicios personales en un daño común, divisible en partes iguales o liquidable sin prueba individual.</w:t>
      </w:r>
    </w:p>
    <w:p>
      <w:pPr>
        <w:pStyle w:val="[Normal]"/>
        <w:spacing w:line="360" w:lineRule="auto"/>
        <w:ind w:firstLine="1134"/>
        <w:jc w:val="both"/>
        <w:rPr>
          <w:lang w:val="es-AR" w:eastAsia="es-AR" w:bidi="es-AR"/>
        </w:rPr>
      </w:pPr>
      <w:r>
        <w:rPr>
          <w:lang w:val="es-AR" w:eastAsia="es-AR" w:bidi="es-AR"/>
        </w:rPr>
        <w:t xml:space="preserve">Es cierto que la falta de comparecencia individual de los integrantes del grupo no equivale, por sí misma, a renuncia de derechos ni priva a la asociación de toda aptitud representativa. Sin embargo, sí constituye un elemento que debe ponderarse cuando lo pretendido no es únicamente la declaración de una cuestión común, sino el reconocimiento de daños personales en favor de sujetos que no se integraron al proceso ni aportaron elementos mínimos para acreditar la existencia, entidad y extensión de los perjuicios invocados. La notificación colectiva asegura la posibilidad de intervención, exclusión o control de la representación, pero no suple la carga de acreditar los presupuestos concretos de una condena resarcitoria individual.</w:t>
      </w:r>
    </w:p>
    <w:p>
      <w:pPr>
        <w:pStyle w:val="[Normal]"/>
        <w:spacing w:line="360" w:lineRule="auto"/>
        <w:ind w:firstLine="1134"/>
        <w:jc w:val="both"/>
        <w:rPr>
          <w:lang w:val="es-AR" w:eastAsia="es-AR" w:bidi="es-AR"/>
        </w:rPr>
      </w:pPr>
      <w:r>
        <w:rPr>
          <w:lang w:val="es-AR" w:eastAsia="es-AR" w:bidi="es-AR"/>
        </w:rPr>
        <w:t xml:space="preserve">A todo evento, corresponde efectuar una aclaración final sobre el alcance de lo aquí decidido. </w:t>
      </w:r>
    </w:p>
    <w:p>
      <w:pPr>
        <w:pStyle w:val="[Normal]"/>
        <w:spacing w:line="360" w:lineRule="auto"/>
        <w:ind w:firstLine="1134"/>
        <w:jc w:val="both"/>
        <w:rPr>
          <w:lang w:val="es-AR" w:eastAsia="es-AR" w:bidi="es-AR"/>
        </w:rPr>
      </w:pPr>
      <w:r>
        <w:rPr>
          <w:lang w:val="es-AR" w:eastAsia="es-AR" w:bidi="es-AR"/>
        </w:rPr>
        <w:t xml:space="preserve">Durante el trámite de la causa se debatió el modo en que debía cumplirse la comunicación al colectivo eventualmente alcanzado (ver escritos de fs. 187/188 vta. 210/212). Esta Alzada modificó el sistema inicialmente dispuesto en la instancia de origen y ordenó un mecanismo de publicidad mediante banner destacado en la página web de la demandada y publicaciones en diarios o semanarios de circulación en la ciudad de Colón (ver sentencia interlocutoria de fs. 217/218); luego se suscitaron incidencias vinculadas con su cumplimiento (ver escritos de fs. 239/239 vta,, 247, 266/27). Sin embargo, no resulta necesario emitir aquí un pronunciamiento específico sobre la suficiencia o regularidad de esa publicidad, pues tal extremo no ha sido motivo específico de agravio ni constituye la razón decisiva del rechazo que se propicia</w:t>
      </w:r>
    </w:p>
    <w:p>
      <w:pPr>
        <w:pStyle w:val="[Normal]"/>
        <w:spacing w:line="360" w:lineRule="auto"/>
        <w:ind w:firstLine="1134"/>
        <w:jc w:val="both"/>
        <w:rPr>
          <w:lang w:val="es-AR" w:eastAsia="es-AR" w:bidi="es-AR"/>
        </w:rPr>
      </w:pPr>
      <w:r>
        <w:rPr>
          <w:lang w:val="es-AR" w:eastAsia="es-AR" w:bidi="es-AR"/>
        </w:rPr>
        <w:t xml:space="preserve">El punto central de la solución aquí propiciada radica en que la actora no acreditó adecuadamente el recaudo relativo a que el ejercicio individual de las acciones no apareciera razonablemente justificado, ni acreditó con grado suficiente de certeza la existencia de daños individualizados o individualizables mediante una fórmula común. Por ello, cualquiera que sea la valoración respecto al cumplimiento del sistema de publicidad oportunamente ordenado, subsistiría el obstáculo central que impide admitir la condena colectiva resarcitoria pretendida.</w:t>
      </w:r>
    </w:p>
    <w:p>
      <w:pPr>
        <w:pStyle w:val="[Normal]"/>
        <w:spacing w:line="360" w:lineRule="auto"/>
        <w:ind w:firstLine="1134"/>
        <w:jc w:val="both"/>
        <w:rPr>
          <w:lang w:val="es-AR" w:eastAsia="es-AR" w:bidi="es-AR"/>
        </w:rPr>
      </w:pPr>
      <w:r>
        <w:rPr>
          <w:lang w:val="es-AR" w:eastAsia="es-AR" w:bidi="es-AR"/>
        </w:rPr>
        <w:t xml:space="preserve">En consecuencia, el agravio de la actora debe ser desestimado, aunque con una precisión conceptual. No corresponde sostener, como regla general, que las asociaciones de consumidores carezcan de legitimación para accionar en defensa de derechos individuales homogéneos de contenido patrimonial. Esa conclusión sería incompatible con el desarrollo constitucional y jurisprudencial de la tutela colectiva. Lo que ocurre en el caso es distinto: la pretensión resarcitoria deducida no satisface, en concreto, los recaudos de admisibilidad propios de la acción colectiva, pues no se advierte acreditado que el ejercicio individual de las acciones no estuviera justificado, ni se ha demostrado la existencia de una fórmula objetiva y común que permita reconocer los daños reclamados sin necesidad de una acreditación individual de cada usuario.</w:t>
      </w:r>
    </w:p>
    <w:p>
      <w:pPr>
        <w:pStyle w:val="[Normal]"/>
        <w:spacing w:line="360" w:lineRule="auto"/>
        <w:ind w:firstLine="1134"/>
        <w:jc w:val="both"/>
        <w:rPr>
          <w:lang w:val="es-AR" w:eastAsia="es-AR" w:bidi="es-AR"/>
        </w:rPr>
      </w:pPr>
      <w:r>
        <w:rPr>
          <w:lang w:val="es-AR" w:eastAsia="es-AR" w:bidi="es-AR"/>
        </w:rPr>
        <w:t xml:space="preserve">Por tal razón, corresponde confirmar el rechazo de la pretensión colectiva resarcitoria, no por ausencia absoluta de legitimación de la asociación actora en materia de consumo, sino por falta de configuración suficiente de los presupuestos de admisibilidad y procedencia que habilitan, en este caso concreto, la representación colectiva de intereses individuales homogéneos orientada a obtener una condena dineraria en favor de cada usuario afectado. </w:t>
      </w:r>
    </w:p>
    <w:p>
      <w:pPr>
        <w:pStyle w:val="[Normal]"/>
        <w:spacing w:line="360" w:lineRule="auto"/>
        <w:ind w:firstLine="1134"/>
        <w:jc w:val="both"/>
        <w:rPr>
          <w:lang w:val="es-AR" w:eastAsia="es-AR" w:bidi="es-AR"/>
        </w:rPr>
      </w:pPr>
      <w:r>
        <w:rPr>
          <w:lang w:val="es-AR" w:eastAsia="es-AR" w:bidi="es-AR"/>
        </w:rPr>
        <w:t xml:space="preserve">II.- Vinculado a lo anterior, e ingresando en el tratamiento de la crítica relativa al apartamiento indebido respecto al criterio jurisprudencial aludido, he de adelantar que la invocación de los precedentes dictados por la Cámara de Apelación en lo Civil y Comercial de San Nicolás no modifica la solución que se propone. </w:t>
      </w:r>
    </w:p>
    <w:p>
      <w:pPr>
        <w:pStyle w:val="[Normal]"/>
        <w:spacing w:line="360" w:lineRule="auto"/>
        <w:ind w:firstLine="1134"/>
        <w:jc w:val="both"/>
        <w:rPr>
          <w:lang w:val="es-AR" w:eastAsia="es-AR" w:bidi="es-AR"/>
        </w:rPr>
      </w:pPr>
      <w:r>
        <w:rPr>
          <w:lang w:val="es-AR" w:eastAsia="es-AR" w:bidi="es-AR"/>
        </w:rPr>
        <w:t xml:space="preserve">Aun cuando puedan exhibir cierta semejanza temática con el presente litigio -en tanto también involucrarían reclamos colectivos promovidos contra AMX por deficiencias en la prestación del servicio de telefonía móvil-, tales pronunciamientos no constituyen doctrina legal obligatoria para este Tribunal ni desplazan el deber de examinar, con arreglo a las constancias propias de esta causa, si se encuentran reunidos los presupuestos de admisibilidad de la acción colectiva intentada.</w:t>
      </w:r>
    </w:p>
    <w:p>
      <w:pPr>
        <w:pStyle w:val="[Normal]"/>
        <w:spacing w:line="360" w:lineRule="auto"/>
        <w:ind w:firstLine="1134"/>
        <w:jc w:val="both"/>
        <w:rPr>
          <w:lang w:val="es-AR" w:eastAsia="es-AR" w:bidi="es-AR"/>
        </w:rPr>
      </w:pPr>
      <w:r>
        <w:rPr>
          <w:lang w:val="es-AR" w:eastAsia="es-AR" w:bidi="es-AR"/>
        </w:rPr>
        <w:t xml:space="preserve">En efecto, la cuestión aquí decisiva no se agota en determinar si una asociación de consumidores puede, en abstracto, promover una acción colectiva en defensa de intereses individuales homogéneos. Ese punto, como se dijo, no ofrece reparos conceptuales insalvables. El problema específico radica en establecer si esta concreta pretensión resarcitoria -por daño patrimonial, daño moral y daño punitivo individual homogéneo- satisface el recaudo relativo a la falta de justificación del ejercicio individual de las acciones y si permite reconocer daños ciertos, individualizables y cuantificables sin necesidad de una acreditación singular de cada usuario. Sobre ese aspecto, los precedentes invocados no resultan dirimentes ni pueden sustituir el análisis que impone la doctrina de la Corte Suprema nacional y de la Suprema Corte provincial.</w:t>
      </w:r>
    </w:p>
    <w:p>
      <w:pPr>
        <w:pStyle w:val="[Normal]"/>
        <w:spacing w:line="360" w:lineRule="auto"/>
        <w:ind w:firstLine="1134"/>
        <w:jc w:val="both"/>
        <w:rPr>
          <w:lang w:val="es-AR" w:eastAsia="es-AR" w:bidi="es-AR"/>
        </w:rPr>
      </w:pPr>
      <w:r>
        <w:rPr>
          <w:lang w:val="es-AR" w:eastAsia="es-AR" w:bidi="es-AR"/>
        </w:rPr>
        <w:t xml:space="preserve">Tampoco puede soslayarse que la fuerza persuasiva de un precedente depende de la identidad sustancial entre los presupuestos fácticos, probatorios y procesales del caso anterior y los del caso sometido a decisión. Aquí se trata de otro episodio, otra localidad, otro período de interrupción, otra plataforma probatoria y, especialmente, de una pretensión cuya cuantía individual y modalidad resarcitoria obligan a revisar con particular detenimiento si el proceso colectivo constituye una vía constitucionalmente justificada. La circunstancia de que en otras causas se haya admitido la legitimación colectiva o la procedencia de determinados rubros no habilita a prescindir del examen concreto de admisibilidad y prueba que corresponde realizar en autos.</w:t>
      </w:r>
    </w:p>
    <w:p>
      <w:pPr>
        <w:pStyle w:val="[Normal]"/>
        <w:spacing w:line="360" w:lineRule="auto"/>
        <w:ind w:firstLine="1134"/>
        <w:jc w:val="both"/>
        <w:rPr>
          <w:lang w:val="es-AR" w:eastAsia="es-AR" w:bidi="es-AR"/>
        </w:rPr>
      </w:pPr>
      <w:r>
        <w:rPr>
          <w:lang w:val="es-AR" w:eastAsia="es-AR" w:bidi="es-AR"/>
        </w:rPr>
        <w:t xml:space="preserve">Por ello, los fallos nicoleños citados por la apelante pueden ser considerados como antecedentes argumentales, pero no resultan vinculantes ni poseen aptitud para alterar la conclusión alcanzada. La decisión del presente recurso debe fundarse en las constancias de esta causa y en la verificación concreta de los requisitos exigidos para la tutela colectiva de intereses individuales homogéneos; verificación que, por las razones ya expuestas, no arroja un resultado favorable a la pretensión resarcitoria deducida.</w:t>
      </w:r>
    </w:p>
    <w:p>
      <w:pPr>
        <w:pStyle w:val="[Normal]"/>
        <w:spacing w:line="360" w:lineRule="auto"/>
        <w:ind w:firstLine="1134"/>
        <w:jc w:val="both"/>
        <w:rPr>
          <w:lang w:val="es-AR" w:eastAsia="es-AR" w:bidi="es-AR"/>
        </w:rPr>
      </w:pPr>
      <w:r>
        <w:rPr>
          <w:lang w:val="es-AR" w:eastAsia="es-AR" w:bidi="es-AR"/>
        </w:rPr>
        <w:t xml:space="preserve">III.- En lo que respecta al agravio fundado en la alegada contradicción interna del fallo, entiendo que tampoco puede prosperar.</w:t>
      </w:r>
    </w:p>
    <w:p>
      <w:pPr>
        <w:pStyle w:val="[Normal]"/>
        <w:spacing w:line="360" w:lineRule="auto"/>
        <w:ind w:firstLine="1134"/>
        <w:jc w:val="both"/>
        <w:rPr>
          <w:lang w:val="es-AR" w:eastAsia="es-AR" w:bidi="es-AR"/>
        </w:rPr>
      </w:pPr>
      <w:r>
        <w:rPr>
          <w:lang w:val="es-AR" w:eastAsia="es-AR" w:bidi="es-AR"/>
        </w:rPr>
        <w:t xml:space="preserve">La actora sostiene que la sentencia resulta absurda porque, luego de declarar abusivas e inoponibles las cláusulas limitativas de responsabilidad, habría validado como suficiente la compensación otorgada por AMX conforme la Solicitud de Servicio. Sin embargo, aun cuando pueda advertirse cierta imprecisión argumental en el modo en que el juez de grado articuló ambos planos de análisis, ello no alcanza para configurar una contradicción decisiva que imponga la revocación del pronunciamiento.</w:t>
      </w:r>
    </w:p>
    <w:p>
      <w:pPr>
        <w:pStyle w:val="[Normal]"/>
        <w:spacing w:line="360" w:lineRule="auto"/>
        <w:ind w:firstLine="1134"/>
        <w:jc w:val="both"/>
        <w:rPr>
          <w:lang w:val="es-AR" w:eastAsia="es-AR" w:bidi="es-AR"/>
        </w:rPr>
      </w:pPr>
      <w:r>
        <w:rPr>
          <w:lang w:val="es-AR" w:eastAsia="es-AR" w:bidi="es-AR"/>
        </w:rPr>
        <w:t xml:space="preserve">La declaración de abusividad de una cláusula limitativa de responsabilidad tiene por efecto impedir que el proveedor se ampare en una estipulación predispuesta para restringir, excluir o tarifar anticipadamente su deber de responder frente al consumidor (art. 37 de la ley 24.240). Pero esa conclusión no equivale, por sí sola, a tener por acreditados todos los presupuestos de una condena indemnizatoria colectiva. En otros términos, la inoponibilidad de la cláusula elimina un obstáculo contractual eventualmente abusivo, pero no suple la carga de demostrar la existencia de un daño cierto, personal y jurídicamente resarcible, ni autoriza a prescindir de los recaudos propios de admisibilidad de una acción colectiva de daños.</w:t>
      </w:r>
    </w:p>
    <w:p>
      <w:pPr>
        <w:pStyle w:val="[Normal]"/>
        <w:spacing w:line="360" w:lineRule="auto"/>
        <w:ind w:firstLine="1134"/>
        <w:jc w:val="both"/>
        <w:rPr>
          <w:lang w:val="es-AR" w:eastAsia="es-AR" w:bidi="es-AR"/>
        </w:rPr>
      </w:pPr>
      <w:r>
        <w:rPr>
          <w:lang w:val="es-AR" w:eastAsia="es-AR" w:bidi="es-AR"/>
        </w:rPr>
        <w:t xml:space="preserve">Desde esta perspectiva, no existe una incompatibilidad lógica necesaria entre declarar abusiva una cláusula limitativa y rechazar, al mismo tiempo, los rubros indemnizatorios reclamados. Lo primero se vincula con el control de validez de una estipulación contractual predispuesta; lo segundo exige verificar si la pretensión resarcitoria fue correctamente canalizada, si el daño invocado reviste certidumbre suficiente y si resulta posible identificar a los damnificados y cuantificar los perjuicios mediante una base objetiva común. Son planos relacionados, pero no idénticos.</w:t>
      </w:r>
    </w:p>
    <w:p>
      <w:pPr>
        <w:pStyle w:val="[Normal]"/>
        <w:spacing w:line="360" w:lineRule="auto"/>
        <w:ind w:firstLine="1134"/>
        <w:jc w:val="both"/>
        <w:rPr>
          <w:lang w:val="es-AR" w:eastAsia="es-AR" w:bidi="es-AR"/>
        </w:rPr>
      </w:pPr>
      <w:r>
        <w:rPr>
          <w:lang w:val="es-AR" w:eastAsia="es-AR" w:bidi="es-AR"/>
        </w:rPr>
        <w:t xml:space="preserve">Tampoco puede compartirse la afirmación de que, acreditada la relación de consumo y la deficiente prestación del servicio, la reparación colectiva de los rubros reclamados se siga como consecuencia automática. El régimen protectorio del consumidor flexibiliza ciertas cargas, impone deberes reforzados al proveedor y orienta la interpretación en favor de la parte débil de la relación; pero no deroga el presupuesto sustancial del daño cierto ni convierte todo incumplimiento común en una condena uniforme a favor de una pluralidad indeterminada de consumidores.</w:t>
      </w:r>
    </w:p>
    <w:p>
      <w:pPr>
        <w:pStyle w:val="[Normal]"/>
        <w:spacing w:line="360" w:lineRule="auto"/>
        <w:ind w:firstLine="1134"/>
        <w:jc w:val="both"/>
        <w:rPr>
          <w:lang w:val="es-AR" w:eastAsia="es-AR" w:bidi="es-AR"/>
        </w:rPr>
      </w:pPr>
      <w:r>
        <w:rPr>
          <w:lang w:val="es-AR" w:eastAsia="es-AR" w:bidi="es-AR"/>
        </w:rPr>
        <w:t xml:space="preserve">En el caso, como se señaló, la pretensión actoral no se limitó a la declaración de abusividad de cláusulas contractuales o a la constatación de un incumplimiento común, sino que persiguió una condena por daño patrimonial, daño moral y daño punitivo individual homogéneo en beneficio de los usuarios presuntamente afectados. Esa modalidad exigía acreditar, o al menos estructurar procesalmente, un mecanismo idóneo para determinar quiénes fueron efectivamente damnificados, cuál fue la afectación concreta sufrida por cada uno y de qué modo correspondía cuantificar o distribuir las sumas pretendidas. Esa base no aparece suficientemente configurada.</w:t>
      </w:r>
    </w:p>
    <w:p>
      <w:pPr>
        <w:pStyle w:val="[Normal]"/>
        <w:spacing w:line="360" w:lineRule="auto"/>
        <w:ind w:firstLine="1134"/>
        <w:jc w:val="both"/>
        <w:rPr>
          <w:lang w:val="es-AR" w:eastAsia="es-AR" w:bidi="es-AR"/>
        </w:rPr>
      </w:pPr>
      <w:r>
        <w:rPr>
          <w:lang w:val="es-AR" w:eastAsia="es-AR" w:bidi="es-AR"/>
        </w:rPr>
        <w:t xml:space="preserve">Por ello, aun si se prescindiera de la consideración efectuada por el juez de grado acerca de la suficiencia de la compensación otorgada por AMX, el rechazo de la pretensión colectiva resarcitoria encuentra sustento autónomo en la falta de acreditación de los presupuestos que habilitan una condena dineraria de alcance grupal en los términos pretendidos. La abusividad de la cláusula limitativa impide tenerla como valladar frente a eventuales reclamos individuales o frente a una acción colectiva correctamente estructurada; pero no permite tener por probados, en bloque, daños patrimoniales, morales o punitivos individualmente atribuibles a todos los integrantes del colectivo invocado.</w:t>
      </w:r>
    </w:p>
    <w:p>
      <w:pPr>
        <w:pStyle w:val="[Normal]"/>
        <w:spacing w:line="360" w:lineRule="auto"/>
        <w:ind w:firstLine="1134"/>
        <w:jc w:val="both"/>
        <w:rPr>
          <w:lang w:val="es-AR" w:eastAsia="es-AR" w:bidi="es-AR"/>
        </w:rPr>
      </w:pPr>
      <w:r>
        <w:rPr>
          <w:lang w:val="es-AR" w:eastAsia="es-AR" w:bidi="es-AR"/>
        </w:rPr>
        <w:t xml:space="preserve">En consecuencia, el agravio debe ser desestimado. No se verifica el absurdo lógico denunciado, pues la declaración de inoponibilidad de las cláusulas limitativas no imponía necesariamente la admisión de los rubros indemnizatorios reclamados bajo una modalidad colectiva que, por las razones ya expuestas, no satisface en el caso los recaudos de certeza, individualización y cuantificación exigibles.</w:t>
      </w:r>
    </w:p>
    <w:p>
      <w:pPr>
        <w:pStyle w:val="[Normal]"/>
        <w:spacing w:line="360" w:lineRule="auto"/>
        <w:ind w:firstLine="1134"/>
        <w:jc w:val="both"/>
        <w:rPr>
          <w:lang w:val="es-AR" w:eastAsia="es-AR" w:bidi="es-AR"/>
        </w:rPr>
      </w:pPr>
      <w:r>
        <w:rPr>
          <w:lang w:val="es-AR" w:eastAsia="es-AR" w:bidi="es-AR"/>
        </w:rPr>
        <w:t xml:space="preserve">IV.- En función de las consideraciones precedentes, los agravios vinculados con el rechazo del daño moral colectivo y del daño punitivo individual homogéneo han quedado virtualmente desplazados.</w:t>
      </w:r>
    </w:p>
    <w:p>
      <w:pPr>
        <w:pStyle w:val="[Normal]"/>
        <w:spacing w:line="360" w:lineRule="auto"/>
        <w:ind w:firstLine="1134"/>
        <w:jc w:val="both"/>
        <w:rPr>
          <w:lang w:val="es-AR" w:eastAsia="es-AR" w:bidi="es-AR"/>
        </w:rPr>
      </w:pPr>
      <w:r>
        <w:rPr>
          <w:lang w:val="es-AR" w:eastAsia="es-AR" w:bidi="es-AR"/>
        </w:rPr>
        <w:t xml:space="preserve">Ello es así porque ambos cuestionamientos presuponen que la pretensión deducida por la asociación actora superaba el umbral de admisibilidad propio de los procesos colectivos relativos a intereses individuales homogéneos. Sin embargo, conforme fue expuesto, en el caso no aparece satisfecho el recaudo relativo a que el ejercicio individual de las acciones no estuviera justificado, ni se advierte la existencia de una base objetiva que permita identificar a los damnificados, establecer el impacto concreto de la conducta atribuida a AMX y cuantificar o distribuir los rubros reclamados sin una acreditación singular.	</w:t>
        <w:br w:type="textWrapping"/>
      </w:r>
      <w:r>
        <w:rPr>
          <w:lang w:val="es-AR" w:eastAsia="es-AR" w:bidi="es-AR"/>
        </w:rPr>
        <w:t xml:space="preserve"> 	En términos procesales, el tema examinado ha devenido en una cuestión desplazada, por cuanto la decisión propiciada respecto a un punto lógicamente pretérito tornó innecesario el examen de los aspectos subordinados o condicionados, sin que por ello éstos devengan abstractos en sentido propio.	</w:t>
        <w:br w:type="textWrapping"/>
      </w:r>
      <w:r>
        <w:rPr>
          <w:lang w:val="es-AR" w:eastAsia="es-AR" w:bidi="es-AR"/>
        </w:rPr>
        <w:t xml:space="preserve">  	En la especie, la consecuencia procesal de ello impone omitir el examen por falta del presupuesto lógico que lo habilita, sin desconocer por ello los efectos propios de la concesión del recurso (arts. 242 y 243 del CPCCN; arts. 242 y 243 del CPCCBA). 	</w:t>
        <w:br w:type="textWrapping"/>
      </w:r>
      <w:r>
        <w:rPr>
          <w:rFonts w:ascii="Calibri" w:hAnsi="Calibri" w:eastAsia="Calibri" w:cs="Calibri"/>
          <w:sz w:val="22"/>
          <w:lang w:val="es-AR" w:eastAsia="es-AR" w:bidi="es-AR"/>
        </w:rPr>
        <w:t xml:space="preserve"> 	</w:t>
      </w:r>
      <w:r>
        <w:rPr>
          <w:lang w:val="es-AR" w:eastAsia="es-AR" w:bidi="es-AR"/>
        </w:rPr>
        <w:t xml:space="preserve">En consecuencia, corresponde desestimar los agravios relativos al daño moral colectivo y al daño punitivo. No porque tales rubros resulten, en abstracto, absolutamente incompatibles con toda acción colectiva de consumo, sino porque, en este caso concreto, fueron reclamados bajo una modalidad que exigía acreditar presupuestos individuales no satisfechos en autos y que, además, no supera el recaudo relativo a la falta de justificación del ejercicio individual de las acciones.</w:t>
      </w:r>
    </w:p>
    <w:p>
      <w:pPr>
        <w:pStyle w:val="[Normal]"/>
        <w:spacing w:line="360" w:lineRule="auto"/>
        <w:ind w:firstLine="1134"/>
        <w:jc w:val="both"/>
        <w:rPr>
          <w:lang w:val="es-AR" w:eastAsia="es-AR" w:bidi="es-AR"/>
        </w:rPr>
      </w:pPr>
      <w:r>
        <w:rPr>
          <w:lang w:val="es-AR" w:eastAsia="es-AR" w:bidi="es-AR"/>
        </w:rPr>
        <w:t xml:space="preserve">V. Finalmente, resta tratar el agravio relativo a la imposición de costas a la asociación actora. </w:t>
      </w:r>
    </w:p>
    <w:p>
      <w:pPr>
        <w:pStyle w:val="[Normal]"/>
        <w:spacing w:line="360" w:lineRule="auto"/>
        <w:ind w:firstLine="1134"/>
        <w:jc w:val="both"/>
        <w:rPr>
          <w:lang w:val="es-AR" w:eastAsia="es-AR" w:bidi="es-AR"/>
        </w:rPr>
      </w:pPr>
      <w:r>
        <w:rPr>
          <w:lang w:val="es-AR" w:eastAsia="es-AR" w:bidi="es-AR"/>
        </w:rPr>
        <w:t xml:space="preserve">En este punto, entiendo que la crítica debe prosperar.</w:t>
      </w:r>
    </w:p>
    <w:p>
      <w:pPr>
        <w:pStyle w:val="[Normal]"/>
        <w:spacing w:line="360" w:lineRule="auto"/>
        <w:ind w:firstLine="1134"/>
        <w:jc w:val="both"/>
        <w:rPr>
          <w:lang w:val="es-AR" w:eastAsia="es-AR" w:bidi="es-AR"/>
        </w:rPr>
      </w:pPr>
      <w:r>
        <w:rPr>
          <w:lang w:val="es-AR" w:eastAsia="es-AR" w:bidi="es-AR"/>
        </w:rPr>
        <w:t xml:space="preserve">Si bien, conforme lo expuesto precedentemente, corresponde confirmar el rechazo de la pretensión colectiva resarcitoria deducida, ello no autoriza a mantener la imposición de costas a cargo de Usuarios y Consumidores Unidos. La cuestión debe resolverse a la luz del art. 55, segundo párrafo, de la Ley 24.240 y de la doctrina legal sentada por la Suprema Corte de Justicia provincial en la causa </w:t>
      </w:r>
      <w:r>
        <w:rPr>
          <w:i/>
          <w:lang w:val="es-AR" w:eastAsia="es-AR" w:bidi="es-AR"/>
        </w:rPr>
        <w:t xml:space="preserve">“Centro de Orientación y Educación del Consumidor (CODEC) c/ Banco de la Provincia de Buenos Aires s/ Nulidad de contrato”</w:t>
      </w:r>
      <w:r>
        <w:rPr>
          <w:lang w:val="es-AR" w:eastAsia="es-AR" w:bidi="es-AR"/>
        </w:rPr>
        <w:t xml:space="preserve">, C. 121.973.</w:t>
      </w:r>
    </w:p>
    <w:p>
      <w:pPr>
        <w:pStyle w:val="[Normal]"/>
        <w:spacing w:line="360" w:lineRule="auto"/>
        <w:ind w:firstLine="1134"/>
        <w:jc w:val="both"/>
        <w:rPr>
          <w:lang w:val="es-AR" w:eastAsia="es-AR" w:bidi="es-AR"/>
        </w:rPr>
      </w:pPr>
      <w:r>
        <w:rPr>
          <w:lang w:val="es-AR" w:eastAsia="es-AR" w:bidi="es-AR"/>
        </w:rPr>
        <w:t xml:space="preserve">En dicho precedente, la Suprema Corte bonaerense sostuvo que, cuando una asociación de usuarios y consumidores promueve una acción judicial en defensa de intereses de incidencia colectiva, el beneficio de justicia gratuita previsto por el art. 55 de la LDC impide, por regla, imponerle las costas aun cuando resulte vencida. También precisó que el incidente de solvencia previsto en el art. 53 de la LDC no resulta extensible a las asociaciones de consumidores que actúan en defensa de intereses colectivos.</w:t>
      </w:r>
    </w:p>
    <w:p>
      <w:pPr>
        <w:pStyle w:val="[Normal]"/>
        <w:spacing w:line="360" w:lineRule="auto"/>
        <w:ind w:firstLine="1134"/>
        <w:jc w:val="both"/>
        <w:rPr>
          <w:lang w:val="es-AR" w:eastAsia="es-AR" w:bidi="es-AR"/>
        </w:rPr>
      </w:pPr>
      <w:r>
        <w:rPr>
          <w:lang w:val="es-AR" w:eastAsia="es-AR" w:bidi="es-AR"/>
        </w:rPr>
        <w:t xml:space="preserve">No obsta a esta conclusión el argumento de la demandada según el cual el beneficio de justicia gratuita no sería aplicable por no haberse verificado, en el caso, los presupuestos de procedencia de la acción colectiva intentada. Tal razonamiento no puede ser compartido, pues confunde el juicio de admisibilidad o procedencia sustancial de la pretensión colectiva con el presupuesto de operatividad del beneficio legal previsto en el art. 55, segundo párrafo, de la ley 24.240.</w:t>
      </w:r>
    </w:p>
    <w:p>
      <w:pPr>
        <w:pStyle w:val="[Normal]"/>
        <w:spacing w:line="360" w:lineRule="auto"/>
        <w:ind w:firstLine="1134"/>
        <w:jc w:val="both"/>
        <w:rPr>
          <w:lang w:val="es-AR" w:eastAsia="es-AR" w:bidi="es-AR"/>
        </w:rPr>
      </w:pPr>
      <w:r>
        <w:rPr>
          <w:lang w:val="es-AR" w:eastAsia="es-AR" w:bidi="es-AR"/>
        </w:rPr>
        <w:t xml:space="preserve">Tal es así que la propia doctrina legal citada fue dictada en un caso en el cual la acción colectiva había sido rechazada por falta de legitimación activa, y aun así la Suprema Corte dejó sin efecto la imposición de costas a la asociación actora. Ello refuerza la conclusión de que el resultado adverso del pleito no basta, por sí solo, para desplazar el beneficio de gratuidad reconocido por el art. 55 de la LDC.</w:t>
      </w:r>
    </w:p>
    <w:p>
      <w:pPr>
        <w:pStyle w:val="[Normal]"/>
        <w:spacing w:line="360" w:lineRule="auto"/>
        <w:ind w:firstLine="1134"/>
        <w:jc w:val="both"/>
        <w:rPr>
          <w:lang w:val="es-AR" w:eastAsia="es-AR" w:bidi="es-AR"/>
        </w:rPr>
      </w:pPr>
      <w:r>
        <w:rPr>
          <w:lang w:val="es-AR" w:eastAsia="es-AR" w:bidi="es-AR"/>
        </w:rPr>
        <w:t xml:space="preserve">En efecto, la franquicia legal no queda subordinada al éxito de la acción ni a la comprobación final de todos los requisitos que habilitan una condena colectiva. Su finalidad es precisamente remover obstáculos económicos de acceso a la jurisdicción cuando una asociación de consumidores promueve una acción judicial en defensa de intereses de incidencia colectiva. Por ello, exigir que la actora demuestre ex post la procedencia plena de la vía colectiva para recién entonces reconocerle el beneficio importaría privar a la norma de buena parte de su eficacia protectoria.</w:t>
      </w:r>
    </w:p>
    <w:p>
      <w:pPr>
        <w:pStyle w:val="[Normal]"/>
        <w:spacing w:line="360" w:lineRule="auto"/>
        <w:ind w:firstLine="1134"/>
        <w:jc w:val="both"/>
        <w:rPr>
          <w:lang w:val="es-AR" w:eastAsia="es-AR" w:bidi="es-AR"/>
        </w:rPr>
      </w:pPr>
      <w:r>
        <w:rPr>
          <w:lang w:val="es-AR" w:eastAsia="es-AR" w:bidi="es-AR"/>
        </w:rPr>
        <w:t xml:space="preserve">La circunstancia de que en esta sentencia se confirme el rechazo de la pretensión resarcitoria colectiva no significa que la acción haya sido ajena al régimen consumeril ni que se hubiera tratado de un reclamo extraño a la defensa de intereses de incidencia colectiva. La demanda fue promovida por una asociación de consumidores contra una empresa proveedora de servicios de telefonía móvil, con fundamento en una relación de consumo y en la alegada afectación homogénea de una pluralidad de usuarios. Que luego no se hayan tenido por satisfechos, en concreto, los recaudos exigibles para obtener una condena dineraria colectiva no desplaza, por sí solo, la aplicación del art. 55 de la LDC.</w:t>
      </w:r>
    </w:p>
    <w:p>
      <w:pPr>
        <w:pStyle w:val="[Normal]"/>
        <w:spacing w:line="360" w:lineRule="auto"/>
        <w:ind w:firstLine="1134"/>
        <w:jc w:val="both"/>
        <w:rPr>
          <w:lang w:val="es-AR" w:eastAsia="es-AR" w:bidi="es-AR"/>
        </w:rPr>
      </w:pPr>
      <w:r>
        <w:rPr>
          <w:lang w:val="es-AR" w:eastAsia="es-AR" w:bidi="es-AR"/>
        </w:rPr>
        <w:t xml:space="preserve">La solución contraria conduciría a un resultado incompatible con la finalidad de la norma: toda asociación que promoviera una acción colectiva y obtuviera un resultado adverso quedaría expuesta a la imposición de costas bajo el argumento de que, precisamente por haber sido rechazada la demanda, no se configuraba el supuesto de tutela colectiva. Ello vaciaría de contenido el beneficio de justicia gratuita y desalentaría el ejercicio de acciones colectivas de consumo, en contradicción con el principio protectorio que informa la materia.</w:t>
      </w:r>
    </w:p>
    <w:p>
      <w:pPr>
        <w:pStyle w:val="[Normal]"/>
        <w:spacing w:line="360" w:lineRule="auto"/>
        <w:ind w:firstLine="1134"/>
        <w:jc w:val="both"/>
        <w:rPr>
          <w:lang w:val="es-AR" w:eastAsia="es-AR" w:bidi="es-AR"/>
        </w:rPr>
      </w:pPr>
      <w:r>
        <w:rPr>
          <w:lang w:val="es-AR" w:eastAsia="es-AR" w:bidi="es-AR"/>
        </w:rPr>
        <w:t xml:space="preserve">En consecuencia, corresponde hacer lugar al agravio en este aspecto y revocar la sentencia apelada en cuanto impuso las costas de primera instancia a la asociación actora, dejándose sin efecto dicha imposición. Por idéntico fundamento, las costas de Alzada tampoco deberán imponerse a la actora, sin perjuicio de que corresponde mantener la regulación y determinación de honorarios para su oportunidad procesal pertinente.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Acoger parcialmente el recurso de apelación en cuanto impuso las costas de primera instancia a la asociación actora, dejándose sin efecto dicha imposición, conforme art. 55, segundo párrafo de la ley 24.240 y doctrina legal de la SCBA. Y confirmar en lo demás el pronunciamiento apelado.</w:t>
      </w:r>
    </w:p>
    <w:p>
      <w:pPr>
        <w:pStyle w:val="[Normal]"/>
        <w:spacing w:line="360" w:lineRule="auto"/>
        <w:ind w:firstLine="1134"/>
        <w:jc w:val="both"/>
        <w:rPr>
          <w:lang w:val="es-AR" w:eastAsia="es-AR" w:bidi="es-AR"/>
        </w:rPr>
      </w:pPr>
      <w:r>
        <w:rPr>
          <w:lang w:val="es-AR" w:eastAsia="es-AR" w:bidi="es-AR"/>
        </w:rPr>
        <w:t xml:space="preserve">2) Por idéntico fundamento, tampoco corresponde imponer a Usuarios y Consumidores Unidos las costas devengadas en esta instancia de Alzada.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Acoger parcialmente el recurso de apelación en cuanto impuso las costas de primera instancia a la asociación actora, dejándose sin efecto dicha imposición, conforme art. 55, segundo párrafo de la ley 24.240 y doctrina legal de la SCBA. Y confirmar en lo demás el pronunciamiento apelado.</w:t>
      </w:r>
    </w:p>
    <w:p>
      <w:pPr>
        <w:pStyle w:val="[Normal]"/>
        <w:spacing w:line="360" w:lineRule="auto"/>
        <w:ind w:firstLine="1134"/>
        <w:jc w:val="both"/>
        <w:rPr>
          <w:lang w:val="es-AR" w:eastAsia="es-AR" w:bidi="es-AR"/>
        </w:rPr>
      </w:pPr>
      <w:r>
        <w:rPr>
          <w:lang w:val="es-AR" w:eastAsia="es-AR" w:bidi="es-AR"/>
        </w:rPr>
        <w:t xml:space="preserve">2) Por idéntico fundamento, tampoco corresponde imponer a Usuarios y Consumidores Unidos las costas devengadas en esta instancia de Alzada.</w:t>
      </w:r>
    </w:p>
    <w:p>
      <w:pPr>
        <w:pStyle w:val="[Normal]"/>
        <w:spacing w:line="360" w:lineRule="auto"/>
        <w:ind w:firstLine="1134"/>
        <w:jc w:val="both"/>
        <w:rPr>
          <w:lang w:val="es-AR" w:eastAsia="es-AR" w:bidi="es-AR"/>
        </w:rPr>
      </w:pPr>
      <w:r>
        <w:rPr>
          <w:lang w:val="es-AR" w:eastAsia="es-AR" w:bidi="es-AR"/>
        </w:rPr>
        <w:t xml:space="preserve">3) Diferir la regulación de honorarios para su oportunidad respectiva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10:00:07 -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10:13:25 -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30/06/2026 11:04:19 - MOREA Adrian Oscar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‰8z")è&amp;y;`SŠ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249002090006892764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30/06/2026 11:04:31 hs. bajo el número RS-112-2026 por MOREA ADRIAN OSCAR.</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3" w:line="360" w:lineRule="auto"/>
      <w:ind w:left="2674" w:right="0" w:hanging="10"/>
      <w:jc w:val="both"/>
    </w:pPr>
    <w:rPr>
      <w:rFonts w:ascii="Arial" w:hAnsi="Arial" w:eastAsia="Arial" w:cs="Arial"/>
      <w:b w:val="off"/>
      <w:bCs w:val="off"/>
      <w:i w:val="off"/>
      <w:iCs w:val="off"/>
      <w:strike w:val="off"/>
      <w:color w:val="000000"/>
      <w:position w:val="0"/>
      <w:sz w:val="23"/>
      <w:szCs w:val="23"/>
      <w:shd w:val="clear" w:color="auto" w:fill="auto"/>
      <w:rtl w:val="off"/>
      <w:lang w:val="x-none" w:eastAsia="x-none" w:bidi="x-none"/>
    </w:rPr>
  </w:style>
  <w:style w:type="paragraph" w:styleId="footnote text">
    <w:name w:val="footnote text"/>
    <w:basedOn w:val="Normal"/>
    <w:next w:val="footnote text"/>
    <w:qFormat/>
    <w:pPr>
      <w:spacing w:after="200" w:line="276" w:lineRule="auto"/>
      <w:ind w:left="0" w:firstLine="0"/>
      <w:jc w:val="left"/>
    </w:pPr>
    <w:rPr>
      <w:rFonts w:ascii="Calibri" w:hAnsi="Calibri" w:eastAsia="Calibri" w:cs="Calibri"/>
      <w:color w:val="auto"/>
      <w:sz w:val="20"/>
      <w:szCs w:val="20"/>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