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5932-25</w:t>
      </w:r>
      <w:r>
        <w:rPr>
          <w:lang w:val="es-AR" w:eastAsia="es-AR" w:bidi="es-AR"/>
        </w:rPr>
        <w:t xml:space="preserve"> caratulada </w:t>
      </w:r>
      <w:r>
        <w:rPr>
          <w:b/>
          <w:lang w:val="es-AR" w:eastAsia="es-AR" w:bidi="es-AR"/>
        </w:rPr>
        <w:t xml:space="preserve">"</w:t>
      </w:r>
      <w:r>
        <w:rPr>
          <w:b/>
          <w:color w:val="000000"/>
          <w:lang w:val="es-AR" w:eastAsia="es-AR" w:bidi="es-AR"/>
        </w:rPr>
        <w:t xml:space="preserve">CODINA NANCY BEATRIZ C/ CODINA OSCAR ANTONIO S/ ACCION DE COLACION</w:t>
      </w:r>
      <w:r>
        <w:rPr>
          <w:b/>
          <w:lang w:val="es-AR" w:eastAsia="es-AR" w:bidi="es-AR"/>
        </w:rPr>
        <w:t xml:space="preserve">"</w:t>
      </w:r>
      <w:r>
        <w:rPr>
          <w:lang w:val="es-AR" w:eastAsia="es-AR" w:bidi="es-AR"/>
        </w:rPr>
        <w:t xml:space="preserve">, Expte. </w:t>
      </w:r>
      <w:r>
        <w:rPr>
          <w:color w:val="000000"/>
          <w:lang w:val="es-AR" w:eastAsia="es-AR" w:bidi="es-AR"/>
        </w:rPr>
        <w:t xml:space="preserve">66.789</w:t>
      </w:r>
      <w:r>
        <w:rPr>
          <w:color w:val="000000"/>
          <w:lang w:val="es-AR" w:eastAsia="es-AR" w:bidi="es-AR"/>
        </w:rPr>
        <w:t xml:space="preserve"> </w:t>
      </w:r>
      <w:r>
        <w:rPr>
          <w:lang w:val="es-AR" w:eastAsia="es-AR" w:bidi="es-AR"/>
        </w:rPr>
        <w:t xml:space="preserve">del Juzgado en lo Civil y Comercial n° 3,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hizo lugar a la demanda instaurada por </w:t>
      </w:r>
      <w:r>
        <w:rPr>
          <w:color w:val="000000"/>
          <w:lang w:val="es-AR" w:eastAsia="es-AR" w:bidi="es-AR"/>
        </w:rPr>
        <w:t xml:space="preserve">Nancy Beatriz Codina</w:t>
      </w:r>
      <w:r>
        <w:rPr>
          <w:lang w:val="es-AR" w:eastAsia="es-AR" w:bidi="es-AR"/>
        </w:rPr>
        <w:t xml:space="preserve">, condenó en consecuencia a </w:t>
      </w:r>
      <w:r>
        <w:rPr>
          <w:color w:val="000000"/>
          <w:lang w:val="es-AR" w:eastAsia="es-AR" w:bidi="es-AR"/>
        </w:rPr>
        <w:t xml:space="preserve">Oscar Antonio Codina</w:t>
      </w:r>
      <w:r>
        <w:rPr>
          <w:lang w:val="es-AR" w:eastAsia="es-AR" w:bidi="es-AR"/>
        </w:rPr>
        <w:t xml:space="preserve"> a colacionar el valor de la donación recibida debiendo imputarse el mismo a la parte de la herencia que le corresponda.; y en caso de no ser ello posible, abonar a la actora, la suma equivalente a aquel valor con más sus intereses la que se determinará por vía incidental. Aplicó las costas a la parte demandada y difirió la regulación de honorarios de  los letrados intervinientes  y de los  peritos, hasta  que  medie  firme  la base para ello.</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el día 28-11-2025 por la parte demandada, concedido el 3-12-2025 libremente y en ambos efectos.</w:t>
      </w:r>
    </w:p>
    <w:p>
      <w:pPr>
        <w:pStyle w:val="[Normal]"/>
        <w:spacing w:line="360" w:lineRule="auto"/>
        <w:ind w:firstLine="1134"/>
        <w:jc w:val="both"/>
        <w:rPr>
          <w:lang w:val="es-AR" w:eastAsia="es-AR" w:bidi="es-AR"/>
        </w:rPr>
      </w:pPr>
      <w:r>
        <w:rPr>
          <w:lang w:val="es-AR" w:eastAsia="es-AR" w:bidi="es-AR"/>
        </w:rPr>
        <w:t xml:space="preserve">Elevados los autos a esta Alzada con fecha 11-12-2025 se ordenó expresar agravios a la parte demandada, quien los fundó el 2-2-2026, habiendo la contraparte contestado el mismo en fecha y del mismo el 19-2-2026. En fecha 24-2-2026 se dictó el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En sustento de su crítica recursiva, la parte demandada plantea los siguientes puntos de agravio:</w:t>
      </w:r>
    </w:p>
    <w:p>
      <w:pPr>
        <w:pStyle w:val="[Normal]"/>
        <w:spacing w:line="360" w:lineRule="auto"/>
        <w:ind w:firstLine="1134"/>
        <w:jc w:val="both"/>
        <w:rPr>
          <w:lang w:val="es-AR" w:eastAsia="es-AR" w:bidi="es-AR"/>
        </w:rPr>
      </w:pPr>
      <w:r>
        <w:rPr>
          <w:lang w:val="es-AR" w:eastAsia="es-AR" w:bidi="es-AR"/>
        </w:rPr>
        <w:t xml:space="preserve">1) Error en la subsunción jurídica del caso. El recurrente sostiene que la sentencia aplicó indebidamente la figura de la colación a hechos que según su lectura, encuadraban en realidad en una acción de reducción por donación inoficiosa. A partir de ello, denuncia que el juez resolvió con una figura jurídica distinta de la realmente emergente de los hechos alegados.</w:t>
      </w:r>
    </w:p>
    <w:p>
      <w:pPr>
        <w:pStyle w:val="[Normal]"/>
        <w:spacing w:line="360" w:lineRule="auto"/>
        <w:ind w:firstLine="1134"/>
        <w:jc w:val="both"/>
        <w:rPr>
          <w:lang w:val="es-AR" w:eastAsia="es-AR" w:bidi="es-AR"/>
        </w:rPr>
      </w:pPr>
      <w:r>
        <w:rPr>
          <w:lang w:val="es-AR" w:eastAsia="es-AR" w:bidi="es-AR"/>
        </w:rPr>
        <w:t xml:space="preserve">2) Violación del principio de congruencia. El apelante arguye que el fallo es incongruente porque resuelve una pretensión distinta de la efectivamente deducida. Su argumento es que la actora rotuló la demanda como “colación”, pero describió una situación que sustancialmente correspondería a reducción. Por eso reprocha que el juez se haya atenidos al nomen iuris y no a la causa petendi real, lo que -según afirma- habría lesionado el derecho de defensa y el debido proceso.</w:t>
      </w:r>
    </w:p>
    <w:p>
      <w:pPr>
        <w:pStyle w:val="[Normal]"/>
        <w:spacing w:line="360" w:lineRule="auto"/>
        <w:ind w:firstLine="1134"/>
        <w:jc w:val="both"/>
        <w:rPr>
          <w:lang w:val="es-AR" w:eastAsia="es-AR" w:bidi="es-AR"/>
        </w:rPr>
      </w:pPr>
      <w:r>
        <w:rPr>
          <w:lang w:val="es-AR" w:eastAsia="es-AR" w:bidi="es-AR"/>
        </w:rPr>
        <w:t xml:space="preserve">3) Improcedencia de la colación en expediente autónomo. El recurrente sostiene que la colación no procede por acción autónoma, sino sólo dentro del proceso particionario del sucesorio. En virtud de ello, cuestiona que la sentencia ordene colacionar, e incluso pagar el valor equivalente con intereses, en un expediente separado del sucesorio, sin inventario, avalúo, determinación de hijuelas ni partición. Desde esa óptica, denuncia que el fallo desnaturaliza el instituto y resuelve fuera del cauce procesal que le sería propio.</w:t>
      </w:r>
    </w:p>
    <w:p>
      <w:pPr>
        <w:pStyle w:val="[Normal]"/>
        <w:spacing w:line="360" w:lineRule="auto"/>
        <w:ind w:firstLine="1134"/>
        <w:jc w:val="both"/>
        <w:rPr>
          <w:lang w:val="es-AR" w:eastAsia="es-AR" w:bidi="es-AR"/>
        </w:rPr>
      </w:pPr>
      <w:r>
        <w:rPr>
          <w:lang w:val="es-AR" w:eastAsia="es-AR" w:bidi="es-AR"/>
        </w:rPr>
        <w:t xml:space="preserve">4) Omisión de tratamiento de la porción disponible. Este agravio se centra en que la sentencia habría descartado de modo indebido los argumentos defensivos relativos a la porción disponible. El apelante dice que ese aspecto fue esencial en su contestación de demanda, porque su defensa consistió precisamente en afirmar que la donación no excedía aquello que el causante podía disponer libremente. Por eso entiende arbitrario que el juez haya considerado irrelevante ese debate, ya que, según su tesis, si los hechos remiten a una reducción, entonces la porción disponible era el núcleo del litigio.</w:t>
      </w:r>
    </w:p>
    <w:p>
      <w:pPr>
        <w:pStyle w:val="[Normal]"/>
        <w:spacing w:line="360" w:lineRule="auto"/>
        <w:ind w:firstLine="1134"/>
        <w:jc w:val="both"/>
        <w:rPr>
          <w:lang w:val="es-AR" w:eastAsia="es-AR" w:bidi="es-AR"/>
        </w:rPr>
      </w:pPr>
      <w:r>
        <w:rPr>
          <w:lang w:val="es-AR" w:eastAsia="es-AR" w:bidi="es-AR"/>
        </w:rPr>
        <w:t xml:space="preserve">5) Carácter prematuro, abstracto e inaplicable de la condena a colacionar el valor. Por último, el apelante objeta la modalidad concreta de la condena. Sostiene que el propio fallo reconoce que todavía no existe partición en el sucesorio y que la determinación del valor colacionable depende de operaciones futuras, ligadas justamente a esa partición. Sin embargo, pese a ello, condena ya a “colacionar el valor”, lo que el recurrente considera una decisión prematura, abstracta, imprecisa e incluso inejecutable, por carecer todavía de base objetiva suficiente.</w:t>
      </w:r>
    </w:p>
    <w:p>
      <w:pPr>
        <w:pStyle w:val="[Normal]"/>
        <w:spacing w:line="360" w:lineRule="auto"/>
        <w:ind w:firstLine="1134"/>
        <w:jc w:val="both"/>
        <w:rPr>
          <w:lang w:val="es-AR" w:eastAsia="es-AR" w:bidi="es-AR"/>
        </w:rPr>
      </w:pPr>
      <w:r>
        <w:rPr>
          <w:lang w:val="es-AR" w:eastAsia="es-AR" w:bidi="es-AR"/>
        </w:rPr>
        <w:t xml:space="preserve">A su turno, la parte actora evacua la contestación de agravios. Sostiene en lo sustancial, que el recurso no puede prosperar porque varios planteos son extemporáneos -en especial, la objeción a la vía autónoma y a la competencia, no articuladas oportunamente al contestar demanda- y porque no existió error de subsunción ni incongruencia, ya que la acción promovida fue claramente de colación y así fue entendida y resuelta por el juez. </w:t>
      </w:r>
    </w:p>
    <w:p>
      <w:pPr>
        <w:pStyle w:val="[Normal]"/>
        <w:spacing w:line="360" w:lineRule="auto"/>
        <w:ind w:firstLine="1134"/>
        <w:jc w:val="both"/>
        <w:rPr>
          <w:lang w:val="es-AR" w:eastAsia="es-AR" w:bidi="es-AR"/>
        </w:rPr>
      </w:pPr>
      <w:r>
        <w:rPr>
          <w:lang w:val="es-AR" w:eastAsia="es-AR" w:bidi="es-AR"/>
        </w:rPr>
        <w:t xml:space="preserve">Añade que la demandada pretende reconfigurar artificialmente la demanda como si fuera de reducción, cuando el libelo introductorio pidió expresamente incorporar el bien a la masa hereditaria por vía de colación, sin que su derecho de defensa se hubiera visto afectado. </w:t>
      </w:r>
    </w:p>
    <w:p>
      <w:pPr>
        <w:pStyle w:val="[Normal]"/>
        <w:spacing w:line="360" w:lineRule="auto"/>
        <w:ind w:firstLine="1134"/>
        <w:jc w:val="both"/>
        <w:rPr>
          <w:lang w:val="es-AR" w:eastAsia="es-AR" w:bidi="es-AR"/>
        </w:rPr>
      </w:pPr>
      <w:r>
        <w:rPr>
          <w:lang w:val="es-AR" w:eastAsia="es-AR" w:bidi="es-AR"/>
        </w:rPr>
        <w:t xml:space="preserve">Finalmente, defiende la sentencia en cuanto tuvo por reunidos los presupuestos de la colación y niega que el razonamiento judicial incurra en arbitrariedad o apartamiento del objeto litigioso.</w:t>
      </w:r>
    </w:p>
    <w:p>
      <w:pPr>
        <w:pStyle w:val="[Normal]"/>
        <w:spacing w:line="360" w:lineRule="auto"/>
        <w:ind w:firstLine="1134"/>
        <w:jc w:val="both"/>
        <w:rPr>
          <w:lang w:val="es-AR" w:eastAsia="es-AR" w:bidi="es-AR"/>
        </w:rPr>
      </w:pPr>
      <w:r>
        <w:rPr>
          <w:lang w:val="es-AR" w:eastAsia="es-AR" w:bidi="es-AR"/>
        </w:rPr>
        <w:t xml:space="preserve">Entrando a resolver, advierto que la cuestión controvertida sometida a revisión compromete el encuadramiento jurídico sustancial (debida subsunción del problema jurídico de fondo en la acción entablada y no consideración de la violación de la legítima como argumento dirimente) y procesal (violación del principio de congruencia entre lo efectivamente pretendido por el actor y lo resuelto por el juez de grado, tratamiento del thema decidendum mediante acción autónoma, carácter prematuro de la condena judicial) del caso bajo juzgamiento.</w:t>
      </w:r>
    </w:p>
    <w:p>
      <w:pPr>
        <w:pStyle w:val="[Normal]"/>
        <w:spacing w:line="360" w:lineRule="auto"/>
        <w:ind w:firstLine="1134"/>
        <w:jc w:val="both"/>
        <w:rPr>
          <w:lang w:val="es-AR" w:eastAsia="es-AR" w:bidi="es-AR"/>
        </w:rPr>
      </w:pPr>
      <w:r>
        <w:rPr>
          <w:lang w:val="es-AR" w:eastAsia="es-AR" w:bidi="es-AR"/>
        </w:rPr>
        <w:t xml:space="preserve">En pro de la claridad expositiva, habrá de seguir una metodología de análisis plenamente coincidente con la secuencia literal que ha seguido la expresión de agravios.</w:t>
      </w:r>
    </w:p>
    <w:p>
      <w:pPr>
        <w:pStyle w:val="[Normal]"/>
        <w:spacing w:line="360" w:lineRule="auto"/>
        <w:ind w:firstLine="1134"/>
        <w:jc w:val="both"/>
        <w:rPr>
          <w:lang w:val="es-AR" w:eastAsia="es-AR" w:bidi="es-AR"/>
        </w:rPr>
      </w:pPr>
      <w:r>
        <w:rPr>
          <w:lang w:val="es-AR" w:eastAsia="es-AR" w:bidi="es-AR"/>
        </w:rPr>
        <w:t xml:space="preserve">Y a fin de enmarcar debidamente la naturaleza del conflicto suscitado en autos, acudiré -por su pertinencia conceptual y jurídica- a un agudo precedente dictado por la Cámara de Apelaciones en lo Civil y Comercial de Junín (Cf.Cám. Apel. Civ. y Com. de Junín, causa Nº 43855, “Mascheroni”, del 18.02.2010). </w:t>
      </w:r>
    </w:p>
    <w:p>
      <w:pPr>
        <w:pStyle w:val="[Normal]"/>
        <w:spacing w:line="360" w:lineRule="auto"/>
        <w:ind w:firstLine="1134"/>
        <w:jc w:val="both"/>
        <w:rPr>
          <w:i/>
          <w:lang w:val="es-AR" w:eastAsia="es-AR" w:bidi="es-AR"/>
        </w:rPr>
      </w:pPr>
      <w:r>
        <w:rPr>
          <w:lang w:val="es-AR" w:eastAsia="es-AR" w:bidi="es-AR"/>
        </w:rPr>
        <w:t xml:space="preserve">En este ilustrado voto (cuyos términos, pese a haber sido reproducidos en parte por el fallo de grado, merecen una reconsideración en la presente pieza dado su particular impacto en la solución que desde aquí propiciaré), el Dr. Guardiola se refirió a las semejanzas y diferencias entre ambas acciones (reducción y colación) con palabras que me permitiré transcribir en honor a su precisión:  </w:t>
      </w:r>
      <w:r>
        <w:rPr>
          <w:i/>
          <w:lang w:val="es-AR" w:eastAsia="es-AR" w:bidi="es-AR"/>
        </w:rPr>
        <w:t xml:space="preserve">“… entiendo útil formular algunas  disquisiciones dado que en el sub-lite se han acumulado, además de la simulación instrumental, dos acciones de fondo: la de colación y de reducción, las que pese a sus tantos puntos de contacto reconocen a su vez diferencias basadas en las peculiaridades de cada una (v. Fornieles "Tratado de las sucesiones" TEA 4ª ed. p. 120).”  </w:t>
      </w:r>
      <w:r>
        <w:rPr>
          <w:lang w:val="es-AR" w:eastAsia="es-AR" w:bidi="es-AR"/>
        </w:rPr>
        <w:t xml:space="preserve">(...)</w:t>
      </w:r>
      <w:r>
        <w:rPr>
          <w:i/>
          <w:lang w:val="es-AR" w:eastAsia="es-AR" w:bidi="es-AR"/>
        </w:rPr>
        <w:t xml:space="preserve"> “… esas acciones se asemejan en cuanto a ambas tienden a defender la integridad de las porciones hereditarias de los herederos forzosos, por lo que también concuerdan en cuanto a la legitimación activa. Asimismo ambas, sin perjuicio de lo que más adelante señalaré, cuando funcionan autónomamente, tienen igual plazo decenal de prescripción (art. 4023 CCivil). Sin embargo presentan marcadas diferencias, entre ellas: 1) la acción de reducción exige agravio a la legítima, en tanto la de colación que tiene por objeto proteger la igualdad entre los herederos funciona aunque no se haya afectado la misma; 2) la acción de reducción es de orden público mientras que la de colación suple la voluntad no expresada por el causante, lo que hace que aquella no sea dispensable mientras que la obligación de colacionar sí; 3) el sujeto pasivo de la acción de colación es necesariamente un coheredero forzoso, lo que no sucede en la de reducción en que puede ser un tercero; 4) mientras la colación se desarrolla en el proceso sucesorio ab intestato, la reducción procede ya en la intestada o la testamentaria; 5) la acción de reducción deja subsistente la mejora hecha en los límites de la porción disponible, mientras que la de colación prospera con respecto al todo restableciendo la equiparación de porciones de los herederos; 6) la acción de reducción puede significar un aumento del patrimonio que se transmite ya que se debe traer a la masa la parte que excedió la porción disponible; la de colación es solamente una operación contable que se traduce en recibir menos, no recibir nada o tener que restituir lo que excede a la porción hereditaria del demandado, ya que no se deben traer los bienes respectivos sino el valor de la liberalidad que se computa en la masa partible y oportunamente se imputa a la hijuela del heredero donatario (v. Córdoba-Levy-SolariWagmaister "Derecho sucesorio "Ed. Universidad To. II p. 132/3; Luis Alejandro Ugarte "Acción de colación: afinidades y diferencias con la reducción. Requisitos, sujetos, funcionamiento y prescripción" en La Ley 1987-E-620 y ss)”.</w:t>
      </w:r>
    </w:p>
    <w:p>
      <w:pPr>
        <w:pStyle w:val="[Normal]"/>
        <w:spacing w:line="360" w:lineRule="auto"/>
        <w:ind w:firstLine="1134"/>
        <w:jc w:val="both"/>
        <w:rPr>
          <w:lang w:val="es-AR" w:eastAsia="es-AR" w:bidi="es-AR"/>
        </w:rPr>
      </w:pPr>
      <w:r>
        <w:rPr>
          <w:lang w:val="es-AR" w:eastAsia="es-AR" w:bidi="es-AR"/>
        </w:rPr>
        <w:t xml:space="preserve">I. Sobre esta base jurídica, estamos en condiciones de ingresar en el tratamiento del primer agravio relativo a a denuncia de error en la calificación jurídica del instituto puesto en crisis.</w:t>
      </w:r>
    </w:p>
    <w:p>
      <w:pPr>
        <w:pStyle w:val="[Normal]"/>
        <w:spacing w:line="360" w:lineRule="auto"/>
        <w:ind w:firstLine="1134"/>
        <w:jc w:val="both"/>
        <w:rPr>
          <w:lang w:val="es-AR" w:eastAsia="es-AR" w:bidi="es-AR"/>
        </w:rPr>
      </w:pPr>
      <w:r>
        <w:rPr>
          <w:lang w:val="es-AR" w:eastAsia="es-AR" w:bidi="es-AR"/>
        </w:rPr>
        <w:t xml:space="preserve">En tal sentido anticipo que no advierto que la sentencia haya incurrido en el error de subsunción jurídica que le atribuye el recurrente.</w:t>
      </w:r>
    </w:p>
    <w:p>
      <w:pPr>
        <w:pStyle w:val="[Normal]"/>
        <w:spacing w:line="360" w:lineRule="auto"/>
        <w:ind w:firstLine="1134"/>
        <w:jc w:val="both"/>
        <w:rPr>
          <w:lang w:val="es-AR" w:eastAsia="es-AR" w:bidi="es-AR"/>
        </w:rPr>
      </w:pPr>
      <w:r>
        <w:rPr>
          <w:lang w:val="es-AR" w:eastAsia="es-AR" w:bidi="es-AR"/>
        </w:rPr>
        <w:t xml:space="preserve">En efecto, el pronunciamiento de grado no revela una aplicación automática, mecánica o infundada del instituto de la colación, sino una legítima operatoria de calificación jurídica del conflicto sometido a decisión. A saber, el juez identificó el régimen normativo que entendió aplicable, precisó la finalidad propia del instituto y lo distinguió conceptualmente de la acción de reducción, descartando así toda hipótesis de encuadramiento irreflexivo o meramente nominal.</w:t>
      </w:r>
    </w:p>
    <w:p>
      <w:pPr>
        <w:pStyle w:val="[Normal]"/>
        <w:spacing w:line="360" w:lineRule="auto"/>
        <w:ind w:firstLine="1134"/>
        <w:jc w:val="both"/>
        <w:rPr>
          <w:lang w:val="es-AR" w:eastAsia="es-AR" w:bidi="es-AR"/>
        </w:rPr>
      </w:pPr>
      <w:r>
        <w:rPr>
          <w:lang w:val="es-AR" w:eastAsia="es-AR" w:bidi="es-AR"/>
        </w:rPr>
        <w:t xml:space="preserve">Desde esa perspectiva, el agravio no logra poner de manifiesto un verdadero desacierto en la labor de subsunción, sino sólo exterioriza la discrepancia del apelante con la solución jurídica adoptada. Pero disentir con el encuadre efectuado por el magistrado no equivale, sin más, a demostrar error en la selección o aplicación de la norma. Para que éste pudiera tenerse por configurado, sería preciso advertir que el sentenciante hubiese prescindido de los rasgos estructurales del instituto aplicado o asignado al caso consecuencias ostensiblemente extrañas a su disciplina. Y ello, a mi juicio, no acontece en la especie.</w:t>
      </w:r>
    </w:p>
    <w:p>
      <w:pPr>
        <w:pStyle w:val="[Normal]"/>
        <w:spacing w:line="360" w:lineRule="auto"/>
        <w:ind w:firstLine="1134"/>
        <w:jc w:val="both"/>
        <w:rPr>
          <w:lang w:val="es-AR" w:eastAsia="es-AR" w:bidi="es-AR"/>
        </w:rPr>
      </w:pPr>
      <w:r>
        <w:rPr>
          <w:lang w:val="es-AR" w:eastAsia="es-AR" w:bidi="es-AR"/>
        </w:rPr>
        <w:t xml:space="preserve">Antes bien, la sentencia exhibe un razonamiento alineado con notas tradicionalmente reconocidas a la colación en la doctrina sucesoria: su autonomía conceptual respecto de la reducción, su específica funcionalidad dentro de las relaciones entre coherederos forzosos y su operatividad propia como mecanismo de imputación del valor de la liberalidad a la porción hereditaria del donatario. En ese marco, no se observa confusión de categorías ni desplazamiento hacia una figura jurídicamente impropia, sino la adopción de un criterio calificatorio fundado y explícitamente sostenido en la motivación del fallo.</w:t>
      </w:r>
    </w:p>
    <w:p>
      <w:pPr>
        <w:pStyle w:val="[Normal]"/>
        <w:spacing w:line="360" w:lineRule="auto"/>
        <w:ind w:firstLine="1134"/>
        <w:jc w:val="both"/>
        <w:rPr>
          <w:lang w:val="es-AR" w:eastAsia="es-AR" w:bidi="es-AR"/>
        </w:rPr>
      </w:pPr>
      <w:r>
        <w:rPr>
          <w:lang w:val="es-AR" w:eastAsia="es-AR" w:bidi="es-AR"/>
        </w:rPr>
        <w:t xml:space="preserve">La crítica recursiva, en definitiva, propone una lectura jurídica diversa acerca del instituto que debía regir la controversia; pero esa divergencia interpretativa, por sí sola, no alcanza para evidenciar un vicio de subsunción.</w:t>
      </w:r>
    </w:p>
    <w:p>
      <w:pPr>
        <w:pStyle w:val="[Normal]"/>
        <w:spacing w:line="360" w:lineRule="auto"/>
        <w:ind w:firstLine="1134"/>
        <w:jc w:val="both"/>
        <w:rPr>
          <w:lang w:val="es-AR" w:eastAsia="es-AR" w:bidi="es-AR"/>
        </w:rPr>
      </w:pPr>
      <w:r>
        <w:rPr>
          <w:lang w:val="es-AR" w:eastAsia="es-AR" w:bidi="es-AR"/>
        </w:rPr>
        <w:t xml:space="preserve">En definitiva, no se advierte ausencia de encuadramiento, confusión técnica o aplicación de una figura manifiestamente ajena al conflicto traído a decisión, circunstancia que deja huérfano de fundamento real a la crítica construida alrededor de la subsunción jurídica del caso. Por ello, este agravio no puede prosperar.</w:t>
      </w:r>
    </w:p>
    <w:p>
      <w:pPr>
        <w:pStyle w:val="[Normal]"/>
        <w:spacing w:line="360" w:lineRule="auto"/>
        <w:ind w:firstLine="1134"/>
        <w:jc w:val="both"/>
        <w:rPr>
          <w:lang w:val="es-AR" w:eastAsia="es-AR" w:bidi="es-AR"/>
        </w:rPr>
      </w:pPr>
      <w:r>
        <w:rPr>
          <w:lang w:val="es-AR" w:eastAsia="es-AR" w:bidi="es-AR"/>
        </w:rPr>
        <w:t xml:space="preserve">II.- El agravio fundado en la supuesta violación del principio de congruencia tampoco ha de prosperar.</w:t>
      </w:r>
    </w:p>
    <w:p>
      <w:pPr>
        <w:pStyle w:val="[Normal]"/>
        <w:spacing w:line="360" w:lineRule="auto"/>
        <w:ind w:firstLine="1134"/>
        <w:jc w:val="both"/>
        <w:rPr>
          <w:lang w:val="es-AR" w:eastAsia="es-AR" w:bidi="es-AR"/>
        </w:rPr>
      </w:pPr>
      <w:r>
        <w:rPr>
          <w:lang w:val="es-AR" w:eastAsia="es-AR" w:bidi="es-AR"/>
        </w:rPr>
        <w:t xml:space="preserve">Es que la incongruencia no se configura por la sola discrepancia de la parte respecto del modo en que el juzgador interpretó jurídicamente la pretensión deducida, sino cuando media un desajuste relevante entre lo pedido, los hechos introducidos al debate y lo finalmente resuelto. Lo prohibido al juez es apartarse de la plataforma litigiosa fijada por las partes, ya sea alterando los hechos constitutivos de la pretensión, introduciendo una causa petendi diversa o acordando más, menos o cosa distinta de lo solicitado. Pero no existe incongruencia cuando el sentenciante decide dentro del marco fáctico sometido a proceso y se expide sobre la pretensión efectivamente articulada, aunque no comparta la inteligencia jurídica que de ella postula alguna de las partes.</w:t>
      </w:r>
    </w:p>
    <w:p>
      <w:pPr>
        <w:pStyle w:val="[Normal]"/>
        <w:spacing w:line="360" w:lineRule="auto"/>
        <w:ind w:firstLine="1134"/>
        <w:jc w:val="both"/>
        <w:rPr>
          <w:lang w:val="es-AR" w:eastAsia="es-AR" w:bidi="es-AR"/>
        </w:rPr>
      </w:pPr>
      <w:r>
        <w:rPr>
          <w:lang w:val="es-AR" w:eastAsia="es-AR" w:bidi="es-AR"/>
        </w:rPr>
        <w:t xml:space="preserve">Al respecto, la Corte Nacional ha sostenido el principio iura novit curia determina que los jueces tienen no sólo la facultad, sino también el deber de discurrir los conflictos y dirimirlos según el derecho aplicable, calificando autónomamente la realidad fáctica y subsumiéndola en las normas jurídicas con prescindencia de los fundamentos que enuncian las partes (conf. CSJN, doctrina de Fallos: 324:2946-). </w:t>
      </w:r>
    </w:p>
    <w:p>
      <w:pPr>
        <w:pStyle w:val="[Normal]"/>
        <w:spacing w:line="360" w:lineRule="auto"/>
        <w:ind w:firstLine="1134"/>
        <w:jc w:val="both"/>
        <w:rPr>
          <w:lang w:val="es-AR" w:eastAsia="es-AR" w:bidi="es-AR"/>
        </w:rPr>
      </w:pPr>
      <w:r>
        <w:rPr>
          <w:lang w:val="es-AR" w:eastAsia="es-AR" w:bidi="es-AR"/>
        </w:rPr>
        <w:t xml:space="preserve">Y en otro precedente no menos relevante a los fines de la presente resolución, el Alto Tribunal relativizó el estricto apego a la regla de congruencia procesal al sostener que: </w:t>
      </w:r>
      <w:r>
        <w:rPr>
          <w:i/>
          <w:lang w:val="es-AR" w:eastAsia="es-AR" w:bidi="es-AR"/>
        </w:rPr>
        <w:t xml:space="preserve">"si bien la congruencia constituye un resguardo para evitar todo menoscabo a la defensa, es menester compatibilizar su aplicación práctica con otras garantías, en particular, la que ampara a quien reclama justicia, de obtener tutela judicial efectiva. Sucede que, en ocasiones, un apego excesivo a la congruencia impide la resolución eficaz y justa del conflicto, configurando un “exceso ritual manifiesto”, concepto elaborado y desarrollado por la Corte Suprema de Justicia de la Nación a partir del célebre caso ´Colalillo´"</w:t>
      </w:r>
      <w:r>
        <w:rPr>
          <w:lang w:val="es-AR" w:eastAsia="es-AR" w:bidi="es-AR"/>
        </w:rPr>
        <w:t xml:space="preserve"> (CSJN, Fallos 238:550 del 18/9/1957).   </w:t>
      </w:r>
    </w:p>
    <w:p>
      <w:pPr>
        <w:pStyle w:val="[Normal]"/>
        <w:spacing w:line="360" w:lineRule="auto"/>
        <w:ind w:firstLine="1134"/>
        <w:jc w:val="both"/>
        <w:rPr>
          <w:lang w:val="es-AR" w:eastAsia="es-AR" w:bidi="es-AR"/>
        </w:rPr>
      </w:pPr>
      <w:r>
        <w:rPr>
          <w:lang w:val="es-AR" w:eastAsia="es-AR" w:bidi="es-AR"/>
        </w:rPr>
        <w:t xml:space="preserve">En similar sentido, el propio Peyrano propugna que: </w:t>
      </w:r>
      <w:r>
        <w:rPr>
          <w:i/>
          <w:lang w:val="es-AR" w:eastAsia="es-AR" w:bidi="es-AR"/>
        </w:rPr>
        <w:t xml:space="preserve">"el juez en lo civil y comercial es soberano en cuanto a la elección de la fundamentación jurídica, disponiendo así de un gran margen de maniobra en la materia. Por ello es que no está obligado a seguir las alegaciones efectuadas por las partes. Éstas están facultadas para materializarlas, pero los magistrados no se encuentran vinculados por ellas"</w:t>
      </w:r>
      <w:r>
        <w:rPr>
          <w:lang w:val="es-AR" w:eastAsia="es-AR" w:bidi="es-AR"/>
        </w:rPr>
        <w:t xml:space="preserve"> (PEYRANO, Jorge W., “Iura novit curia procesal. La reconducción de postulaciones” en “Procedimiento civil y comercial. Conflictos procesales”, Rosario 2002, Editorial Juris, tomo 1, página 99 y siguientes).</w:t>
      </w:r>
    </w:p>
    <w:p>
      <w:pPr>
        <w:pStyle w:val="[Normal]"/>
        <w:spacing w:line="360" w:lineRule="auto"/>
        <w:ind w:firstLine="1134"/>
        <w:jc w:val="both"/>
        <w:rPr>
          <w:lang w:val="es-AR" w:eastAsia="es-AR" w:bidi="es-AR"/>
        </w:rPr>
      </w:pPr>
      <w:r>
        <w:rPr>
          <w:lang w:val="es-AR" w:eastAsia="es-AR" w:bidi="es-AR"/>
        </w:rPr>
        <w:t xml:space="preserve">Bajo ese criterio, no advierto que el fallo haya resuelto una cuestión extraña a la trabada en autos. La sentencia se pronunció acerca del reclamo promovido por la actora en orden a obtener la colación de la donación efectuada en favor de su coheredero y, en consonancia con ello, trató la procedencia de esa pretensión y dispuso sus consecuencias en los términos en que entendió jurídicamente correspondientes. No se verifica, entonces, que el juez haya introducido de oficio una acción distinta, modificado el objeto litigioso o pronunciado condena sobre una base fáctica ajena a la propuesta por las partes.</w:t>
      </w:r>
    </w:p>
    <w:p>
      <w:pPr>
        <w:pStyle w:val="[Normal]"/>
        <w:spacing w:line="360" w:lineRule="auto"/>
        <w:ind w:firstLine="1134"/>
        <w:jc w:val="both"/>
        <w:rPr>
          <w:lang w:val="es-AR" w:eastAsia="es-AR" w:bidi="es-AR"/>
        </w:rPr>
      </w:pPr>
      <w:r>
        <w:rPr>
          <w:lang w:val="es-AR" w:eastAsia="es-AR" w:bidi="es-AR"/>
        </w:rPr>
        <w:t xml:space="preserve">El apelante sustenta este agravio en la premisa de que, pese al rótulo asignado en la demanda, la actora habría relatado hechos propios de una acción de reducción, de modo que la sentencia, al decidir en clave de colación, habría desconocido la verdadera causa petendi. Sin embargo, ese planteo no demuestra, por sí, una ruptura de congruencia, sino que reedita, desde otra perspectiva, la discrepancia del recurrente con la lectura judicial del alcance de la pretensión. Y justamente allí conviene marcar la diferencia: una cosa es discutir si la pretensión debió ser jurídicamente reconducida de otro modo; otra, diversa, es sostener que el juez decidió algo no pedido. Esto último es lo que habilitaría un reproche por incongruencia, y eso no es, a mi juicio, lo sucedido en la especie.</w:t>
      </w:r>
    </w:p>
    <w:p>
      <w:pPr>
        <w:pStyle w:val="[Normal]"/>
        <w:spacing w:line="360" w:lineRule="auto"/>
        <w:ind w:firstLine="1134"/>
        <w:jc w:val="both"/>
        <w:rPr>
          <w:lang w:val="es-AR" w:eastAsia="es-AR" w:bidi="es-AR"/>
        </w:rPr>
      </w:pPr>
      <w:r>
        <w:rPr>
          <w:lang w:val="es-AR" w:eastAsia="es-AR" w:bidi="es-AR"/>
        </w:rPr>
        <w:t xml:space="preserve">En otros términos, aun aceptando que en el desarrollo argumental del escrito inicial pudieran hallarse referencias o consideraciones susceptibles de ser asociadas por el apelante a otro instituto, ello no basta para concluir que la sentencia se apartó del thema decidendum. La congruencia debe verificarse con relación al contenido sustancial de la pretensión y al marco de la controversia efectivamente trabada, no a partir de una lectura fragmentaria o aislada de algunas expresiones del libelo introductorio. Desde esa óptica, el juez resolvió dentro de los límites del debate procesal fijado en autos y no fuera de ellos.</w:t>
      </w:r>
    </w:p>
    <w:p>
      <w:pPr>
        <w:pStyle w:val="[Normal]"/>
        <w:spacing w:line="360" w:lineRule="auto"/>
        <w:ind w:firstLine="1134"/>
        <w:jc w:val="both"/>
        <w:rPr>
          <w:lang w:val="es-AR" w:eastAsia="es-AR" w:bidi="es-AR"/>
        </w:rPr>
      </w:pPr>
      <w:r>
        <w:rPr>
          <w:lang w:val="es-AR" w:eastAsia="es-AR" w:bidi="es-AR"/>
        </w:rPr>
        <w:t xml:space="preserve">Tampoco se advierte afectación concreta al derecho de defensa. El demandado conoció desde el inicio cuál era el reclamo deducido en su contra, pudo contestarlo, ofrecer prueba y desarrollar su postura jurídica con amplitud. La circunstancia de que la sentencia no haya receptado la interpretación propiciada por su parte respecto del verdadero alcance de la demanda no equivale a indefensión ni transforma en incongruente al pronunciamiento.</w:t>
      </w:r>
    </w:p>
    <w:p>
      <w:pPr>
        <w:pStyle w:val="[Normal]"/>
        <w:spacing w:line="360" w:lineRule="auto"/>
        <w:ind w:firstLine="1134"/>
        <w:jc w:val="both"/>
        <w:rPr>
          <w:lang w:val="es-AR" w:eastAsia="es-AR" w:bidi="es-AR"/>
        </w:rPr>
      </w:pPr>
      <w:r>
        <w:rPr>
          <w:lang w:val="es-AR" w:eastAsia="es-AR" w:bidi="es-AR"/>
        </w:rPr>
        <w:t xml:space="preserve">En suma, la crítica no pone de manifiesto una alteración de los términos de la litis, sino una divergencia hermenéutica en torno al sentido y alcance de la pretensión deducida. Como el fallo se mantuvo dentro del marco objetivo y fáctico delimitado por las partes, sin sustituir la acción ejercida ni decidir sobre un objeto extraño al proceso, el agravio fundado en la violación del principio de congruencia debe ser desestimado.</w:t>
      </w:r>
    </w:p>
    <w:p>
      <w:pPr>
        <w:pStyle w:val="[Normal]"/>
        <w:spacing w:line="360" w:lineRule="auto"/>
        <w:ind w:firstLine="1134"/>
        <w:jc w:val="both"/>
        <w:rPr>
          <w:lang w:val="es-AR" w:eastAsia="es-AR" w:bidi="es-AR"/>
        </w:rPr>
      </w:pPr>
      <w:r>
        <w:rPr>
          <w:lang w:val="es-AR" w:eastAsia="es-AR" w:bidi="es-AR"/>
        </w:rPr>
        <w:t xml:space="preserve">III.- El tercer agravio tampoco habrá de merecer mejor acogida.</w:t>
      </w:r>
    </w:p>
    <w:p>
      <w:pPr>
        <w:pStyle w:val="[Normal]"/>
        <w:spacing w:line="360" w:lineRule="auto"/>
        <w:ind w:firstLine="1134"/>
        <w:jc w:val="both"/>
        <w:rPr>
          <w:lang w:val="es-AR" w:eastAsia="es-AR" w:bidi="es-AR"/>
        </w:rPr>
      </w:pPr>
      <w:r>
        <w:rPr>
          <w:lang w:val="es-AR" w:eastAsia="es-AR" w:bidi="es-AR"/>
        </w:rPr>
        <w:t xml:space="preserve">Aquí no se discute si la pretensión fue correctamente encuadrada como colación ni si la sentencia guardó congruencia con lo pedido; la cuestión consiste, más acotadamente, en determinar si el reclamo podía ser tratado en un proceso autónomo o si, como postula el recurrente, la colación sólo podía ventilarse dentro del trámite particionario del sucesorio.</w:t>
      </w:r>
    </w:p>
    <w:p>
      <w:pPr>
        <w:pStyle w:val="[Normal]"/>
        <w:spacing w:line="360" w:lineRule="auto"/>
        <w:ind w:firstLine="1134"/>
        <w:jc w:val="both"/>
        <w:rPr>
          <w:lang w:val="es-AR" w:eastAsia="es-AR" w:bidi="es-AR"/>
        </w:rPr>
      </w:pPr>
      <w:r>
        <w:rPr>
          <w:lang w:val="es-AR" w:eastAsia="es-AR" w:bidi="es-AR"/>
        </w:rPr>
        <w:t xml:space="preserve">Bajo esa delimitación, no advierto un vicio de entidad suficiente para descalificar el pronunciamiento por la sola circunstancia de haberse sustanciado la controversia en expediente separado.</w:t>
      </w:r>
    </w:p>
    <w:p>
      <w:pPr>
        <w:pStyle w:val="[Normal]"/>
        <w:spacing w:line="360" w:lineRule="auto"/>
        <w:ind w:firstLine="1134"/>
        <w:jc w:val="both"/>
        <w:rPr>
          <w:lang w:val="es-AR" w:eastAsia="es-AR" w:bidi="es-AR"/>
        </w:rPr>
      </w:pPr>
      <w:r>
        <w:rPr>
          <w:lang w:val="es-AR" w:eastAsia="es-AR" w:bidi="es-AR"/>
        </w:rPr>
        <w:t xml:space="preserve">Es cierto que la colación guarda una vinculación lógica, funcional y jurídica con la partición, en tanto la operación colacionaria se proyecta finalmente sobre la masa partible y sobre la composición de las hijuelas. También es exacto que la determinación definitiva de los valores y su concreta imputación encuentran, por regla, su ámbito natural de consumación en la etapa particionaria. Pero de ello no se sigue, necesariamente, que resulte inadmisible promover en forma autónoma un proceso destinado a obtener el reconocimiento judicial de la obligación de colacionar cuando ese extremo aparece controvertido entre coherederos. </w:t>
      </w:r>
    </w:p>
    <w:p>
      <w:pPr>
        <w:pStyle w:val="[Normal]"/>
        <w:spacing w:line="360" w:lineRule="auto"/>
        <w:ind w:firstLine="1134"/>
        <w:jc w:val="both"/>
        <w:rPr>
          <w:lang w:val="es-AR" w:eastAsia="es-AR" w:bidi="es-AR"/>
        </w:rPr>
      </w:pPr>
      <w:r>
        <w:rPr>
          <w:lang w:val="es-AR" w:eastAsia="es-AR" w:bidi="es-AR"/>
        </w:rPr>
        <w:t xml:space="preserve">Dicho en otros términos, no corresponde confundir el momento en que la colación produce sus efectos propios dentro del proceso sucesorio con la posibilidad de que, mediando controversia, el deber de colacionar sea previamente reconocido mediante un cauce procesal autónoma.</w:t>
      </w:r>
    </w:p>
    <w:p>
      <w:pPr>
        <w:pStyle w:val="[Normal]"/>
        <w:spacing w:line="360" w:lineRule="auto"/>
        <w:ind w:firstLine="1134"/>
        <w:jc w:val="both"/>
        <w:rPr>
          <w:lang w:val="es-AR" w:eastAsia="es-AR" w:bidi="es-AR"/>
        </w:rPr>
      </w:pPr>
      <w:r>
        <w:rPr>
          <w:lang w:val="es-AR" w:eastAsia="es-AR" w:bidi="es-AR"/>
        </w:rPr>
        <w:t xml:space="preserve">En rigor, la propia demanda dejó en evidencia desde el inicio que la cuestión estaba conectada con el sucesorio principal, incluso aludiendo a la atracción y explicando que la acción se promovía por esta vía ante la imposibilidad práctica de canalizarla de otro modo en el sistema de ingreso. A su vez, la sentencia no desconoció la necesaria proyección particionaria del instituto, sino que la resaltó expresamente al señalar que la determinación del valor colacionable debía computarse en oportunidad de la partición y que la participación concreta de la actora en el acervo excedía el limitado marco cognoscitivo del proceso. Es decir, el fallo no sustituyó la partición ni pretendió consumarla en este expediente, sino que resolvió el conflicto previo relativo a la existencia del deber de colacionar.</w:t>
      </w:r>
    </w:p>
    <w:p>
      <w:pPr>
        <w:pStyle w:val="[Normal]"/>
        <w:spacing w:line="360" w:lineRule="auto"/>
        <w:ind w:firstLine="1134"/>
        <w:jc w:val="both"/>
        <w:rPr>
          <w:lang w:val="es-AR" w:eastAsia="es-AR" w:bidi="es-AR"/>
        </w:rPr>
      </w:pPr>
      <w:r>
        <w:rPr>
          <w:lang w:val="es-AR" w:eastAsia="es-AR" w:bidi="es-AR"/>
        </w:rPr>
        <w:t xml:space="preserve">Desde esa perspectiva, no resulta convincente la afirmación del apelante en cuanto sostiene que el solo trámite autónomo </w:t>
      </w:r>
      <w:r>
        <w:rPr>
          <w:i/>
          <w:lang w:val="es-AR" w:eastAsia="es-AR" w:bidi="es-AR"/>
        </w:rPr>
        <w:t xml:space="preserve">“desnaturaliza”</w:t>
      </w:r>
      <w:r>
        <w:rPr>
          <w:lang w:val="es-AR" w:eastAsia="es-AR" w:bidi="es-AR"/>
        </w:rPr>
        <w:t xml:space="preserve"> el instituto. La autonomía formal del proceso no altera, por sí sola, la naturaleza jurídica de la colación como instituto de derecho sustancial, siempre que se preserve su ulterior operatividad dentro de la partición. Y eso es, precisamente, lo que aquí ocurre: la sentencia reconoce la obligación de colacionar, pero no prescinde del marco sucesorio como ámbito necesario para su liquidación y proyección definitiva sobre las hijuelas.</w:t>
      </w:r>
    </w:p>
    <w:p>
      <w:pPr>
        <w:pStyle w:val="[Normal]"/>
        <w:spacing w:line="360" w:lineRule="auto"/>
        <w:ind w:firstLine="1134"/>
        <w:jc w:val="both"/>
        <w:rPr>
          <w:lang w:val="es-AR" w:eastAsia="es-AR" w:bidi="es-AR"/>
        </w:rPr>
      </w:pPr>
      <w:r>
        <w:rPr>
          <w:lang w:val="es-AR" w:eastAsia="es-AR" w:bidi="es-AR"/>
        </w:rPr>
        <w:t xml:space="preserve">Tampoco aparece acreditado un perjuicio procesal concreto derivado de la vía escogida. El demandado pudo ejercer plenamente su defensa, controvertir la procedencia de la acción, ofrecer prueba y cuestionar la valoración producida. De tal modo, aun si se admitiera que el trámite particionario constituía el cauce más natural o técnicamente más adecuado para el desenvolvimiento final de la colación, ello no basta para concluir que el proceso autónomo haya tornado inválido, por sí mismo, el tratamiento judicial del conflicto.</w:t>
      </w:r>
    </w:p>
    <w:p>
      <w:pPr>
        <w:pStyle w:val="[Normal]"/>
        <w:spacing w:line="360" w:lineRule="auto"/>
        <w:ind w:firstLine="1134"/>
        <w:jc w:val="both"/>
        <w:rPr>
          <w:lang w:val="es-AR" w:eastAsia="es-AR" w:bidi="es-AR"/>
        </w:rPr>
      </w:pPr>
      <w:r>
        <w:rPr>
          <w:lang w:val="es-AR" w:eastAsia="es-AR" w:bidi="es-AR"/>
        </w:rPr>
        <w:t xml:space="preserve">En suma, la crítica confunde el ámbito de consumación práctica de la colación con la posibilidad de declarar judicialmente, en proceso separado, la existencia de la obligación controvertida. Que la colación despliegue sus efectos plenos en la partición no impide, sin más, que la controversia sobre su procedencia sea despejada en un juicio autónomo, sin perjuicio de la necesaria articulación posterior con el sucesorio. Por ello, el agravio relativo a la improcedencia de la vía no debe ser acogido.</w:t>
      </w:r>
    </w:p>
    <w:p>
      <w:pPr>
        <w:pStyle w:val="[Normal]"/>
        <w:spacing w:line="360" w:lineRule="auto"/>
        <w:ind w:firstLine="1134"/>
        <w:jc w:val="both"/>
        <w:rPr>
          <w:lang w:val="es-AR" w:eastAsia="es-AR" w:bidi="es-AR"/>
        </w:rPr>
      </w:pPr>
      <w:r>
        <w:rPr>
          <w:lang w:val="es-AR" w:eastAsia="es-AR" w:bidi="es-AR"/>
        </w:rPr>
        <w:t xml:space="preserve">IV.- Tampoco puede prosperar el agravio fundado en la supuesta omisión de tratamiento de los argumentos relativos a la porción disponible.</w:t>
      </w:r>
    </w:p>
    <w:p>
      <w:pPr>
        <w:pStyle w:val="[Normal]"/>
        <w:spacing w:line="360" w:lineRule="auto"/>
        <w:ind w:firstLine="1134"/>
        <w:jc w:val="both"/>
        <w:rPr>
          <w:lang w:val="es-AR" w:eastAsia="es-AR" w:bidi="es-AR"/>
        </w:rPr>
      </w:pPr>
      <w:r>
        <w:rPr>
          <w:lang w:val="es-AR" w:eastAsia="es-AR" w:bidi="es-AR"/>
        </w:rPr>
        <w:t xml:space="preserve">No se advierte, en rigor, una omisión de pronunciamiento en sentido técnico. La sentencia sí consideró expresamente ese planteo defensivo, sólo que lo reputó ajeno al marco jurídico que entendió aplicable al litigio. </w:t>
      </w:r>
    </w:p>
    <w:p>
      <w:pPr>
        <w:pStyle w:val="[Normal]"/>
        <w:spacing w:line="360" w:lineRule="auto"/>
        <w:ind w:firstLine="1134"/>
        <w:jc w:val="both"/>
        <w:rPr>
          <w:lang w:val="es-AR" w:eastAsia="es-AR" w:bidi="es-AR"/>
        </w:rPr>
      </w:pPr>
      <w:r>
        <w:rPr>
          <w:lang w:val="es-AR" w:eastAsia="es-AR" w:bidi="es-AR"/>
        </w:rPr>
        <w:t xml:space="preserve">En efecto, el juez dejó dicho de manera explícita que los argumentos del demandado asentados en que la donación no habría superado la parte disponible del causante ni afectado la legítima de la actora resultaban inatendibles, precisamente por estimar que tales extremos no eran dirimentes en una acción de colación. De ello se sigue que no hubo silencio judicial sobre el punto, sino rechazo fundado de su pertinencia.</w:t>
      </w:r>
    </w:p>
    <w:p>
      <w:pPr>
        <w:pStyle w:val="[Normal]"/>
        <w:spacing w:line="360" w:lineRule="auto"/>
        <w:ind w:firstLine="1134"/>
        <w:jc w:val="both"/>
        <w:rPr>
          <w:lang w:val="es-AR" w:eastAsia="es-AR" w:bidi="es-AR"/>
        </w:rPr>
      </w:pPr>
      <w:r>
        <w:rPr>
          <w:lang w:val="es-AR" w:eastAsia="es-AR" w:bidi="es-AR"/>
        </w:rPr>
        <w:t xml:space="preserve">La crítica del apelante parte de la premisa de que el debate sobre la porción disponible constituía el núcleo necesario del litigio. Pero esa premisa sólo sería exacta si se aceptara, como paso previo, que el caso debía resolverse en la lógica de la reducción. Y ese extremo, como ya quedó señalado al tratar el agravio anterior, no puede tenerse por demostrado en esta instancia. Por lo tanto, no cabe reprochar al sentenciante haber omitido una cuestión esencial cuando, en realidad, la examinó y la desestimó por considerarla impropia del marco conceptual desde el cual resolvió la controversia.</w:t>
      </w:r>
    </w:p>
    <w:p>
      <w:pPr>
        <w:pStyle w:val="[Normal]"/>
        <w:spacing w:line="360" w:lineRule="auto"/>
        <w:ind w:firstLine="1134"/>
        <w:jc w:val="both"/>
        <w:rPr>
          <w:lang w:val="es-AR" w:eastAsia="es-AR" w:bidi="es-AR"/>
        </w:rPr>
      </w:pPr>
      <w:r>
        <w:rPr>
          <w:lang w:val="es-AR" w:eastAsia="es-AR" w:bidi="es-AR"/>
        </w:rPr>
        <w:t xml:space="preserve">Desde la perspectiva del agravio formulado, la crítica expresa por el apelante incurre en la falacia de inatinencia por supuesto condicionante no demostrado. Esto es, se apoya en una premisa no acreditada -que el caso debía regirse por las reglas de la reducción- y, desde allí, concluye que el tratamiento de la porción disponible era ineludible. Tal razonamiento no evidencia una verdadera omisión decisoria, sino una disconformidad construida sobre un presupuesto jurídico que constituye, precisamente, el punto controvertido.</w:t>
      </w:r>
    </w:p>
    <w:p>
      <w:pPr>
        <w:pStyle w:val="[Normal]"/>
        <w:spacing w:line="360" w:lineRule="auto"/>
        <w:ind w:firstLine="1134"/>
        <w:jc w:val="both"/>
        <w:rPr>
          <w:lang w:val="es-AR" w:eastAsia="es-AR" w:bidi="es-AR"/>
        </w:rPr>
      </w:pPr>
      <w:r>
        <w:rPr>
          <w:lang w:val="es-AR" w:eastAsia="es-AR" w:bidi="es-AR"/>
        </w:rPr>
        <w:t xml:space="preserve">Es crucial distinguir entre la falta de tratamiento de una defensa oportunamente introducida y la decisión judicial de restarle relevancia por no estimarla jurídicamente conducente. Sólo lo primero habilitaría un reproche por omisión. Lo segundo remite, en todo caso, al acierto o desacierto del criterio de pertinencia adoptado por el juez, pero no a un defecto de falta de respuesta. Y es precisamente esto último lo que ha acontecido en la especie.</w:t>
      </w:r>
    </w:p>
    <w:p>
      <w:pPr>
        <w:pStyle w:val="[Normal]"/>
        <w:spacing w:line="360" w:lineRule="auto"/>
        <w:ind w:firstLine="1134"/>
        <w:jc w:val="both"/>
        <w:rPr>
          <w:lang w:val="es-AR" w:eastAsia="es-AR" w:bidi="es-AR"/>
        </w:rPr>
      </w:pPr>
      <w:r>
        <w:rPr>
          <w:lang w:val="es-AR" w:eastAsia="es-AR" w:bidi="es-AR"/>
        </w:rPr>
        <w:t xml:space="preserve">En virtud de lo expuesto, es dable concluir que el agravio no evidencia arbitrariedad por silencio u omisión, sino mera disconformidad del recurrente con la respuesta dada al punto. El juez no dejó sin contestación la defensa basada en la porción disponible; antes bien, le negó eficacia dentro del encuadre jurídico asumido en la sentencia. Esa respuesta podrá ser compartida o no, pero excluye la existencia de una omisión invalidante. Por ello, este agravio debe ser rechazado.</w:t>
      </w:r>
    </w:p>
    <w:p>
      <w:pPr>
        <w:pStyle w:val="[Normal]"/>
        <w:spacing w:line="360" w:lineRule="auto"/>
        <w:ind w:firstLine="1134"/>
        <w:jc w:val="both"/>
        <w:rPr>
          <w:lang w:val="es-AR" w:eastAsia="es-AR" w:bidi="es-AR"/>
        </w:rPr>
      </w:pPr>
      <w:r>
        <w:rPr>
          <w:lang w:val="es-AR" w:eastAsia="es-AR" w:bidi="es-AR"/>
        </w:rPr>
        <w:t xml:space="preserve">V.- Finalmente, el último agravio relativo al carácter prematura no puede prosperar.</w:t>
      </w:r>
    </w:p>
    <w:p>
      <w:pPr>
        <w:pStyle w:val="[Normal]"/>
        <w:spacing w:line="360" w:lineRule="auto"/>
        <w:ind w:firstLine="1134"/>
        <w:jc w:val="both"/>
        <w:rPr>
          <w:lang w:val="es-AR" w:eastAsia="es-AR" w:bidi="es-AR"/>
        </w:rPr>
      </w:pPr>
      <w:r>
        <w:rPr>
          <w:lang w:val="es-AR" w:eastAsia="es-AR" w:bidi="es-AR"/>
        </w:rPr>
        <w:t xml:space="preserve">Ello así, pues la sentencia apelada no debe ser interpretada en forma aislada a partir de una lectura fragmentaria de su parte dispositiva, sino como una unidad lógico-jurídica, en armonía con los fundamentos que la sustentan. </w:t>
      </w:r>
    </w:p>
    <w:p>
      <w:pPr>
        <w:pStyle w:val="[Normal]"/>
        <w:spacing w:line="360" w:lineRule="auto"/>
        <w:ind w:firstLine="1134"/>
        <w:jc w:val="both"/>
        <w:rPr>
          <w:lang w:val="es-AR" w:eastAsia="es-AR" w:bidi="es-AR"/>
        </w:rPr>
      </w:pPr>
      <w:r>
        <w:rPr>
          <w:lang w:val="es-AR" w:eastAsia="es-AR" w:bidi="es-AR"/>
        </w:rPr>
        <w:t xml:space="preserve">Al respecto, la Sala III de la Cámara de Apelaciones en lo Civil y Comercial de Lomas de Zamora ha entendido que el contenido de los considerandos integra el objeto de la decisión judicial: </w:t>
      </w:r>
      <w:r>
        <w:rPr>
          <w:i/>
          <w:lang w:val="es-AR" w:eastAsia="es-AR" w:bidi="es-AR"/>
        </w:rPr>
        <w:t xml:space="preserve">"En el caso concreto de autos, la omisión alegada por el recurrente, no priva de claridad a la sentencia; por cuanto sus motivaciones o considerandos, por su carácter, forman con la parte dispositiva -aunque no estén expresamente receptados en ella-, una unidad funcional susceptible de hacer cosa juzgada. De allí que el hecho de no figurar todo lo resuelto en la parte dispositiva, que es sin duda donde se polariza el mandato del juez, debe suplirse o interpretarse por lo que él mismo ha dicho claramente al fundar su resolución"</w:t>
      </w:r>
      <w:r>
        <w:rPr>
          <w:lang w:val="es-AR" w:eastAsia="es-AR" w:bidi="es-AR"/>
        </w:rPr>
        <w:t xml:space="preserve"> (Cámara de Apelaciones en lo Civil y Comercial de Lomas de Zamora, Sala III, "JOURDON MARCELO ALBERTO Y OTRO/A C/ CONTRERAS VERA VICTOR S/ DAÑOS Y PERJUICIOS", 9 de Mayo de 2013).</w:t>
      </w:r>
    </w:p>
    <w:p>
      <w:pPr>
        <w:pStyle w:val="[Normal]"/>
        <w:spacing w:line="360" w:lineRule="auto"/>
        <w:ind w:firstLine="1134"/>
        <w:jc w:val="both"/>
        <w:rPr>
          <w:lang w:val="es-AR" w:eastAsia="es-AR" w:bidi="es-AR"/>
        </w:rPr>
      </w:pPr>
      <w:r>
        <w:rPr>
          <w:lang w:val="es-AR" w:eastAsia="es-AR" w:bidi="es-AR"/>
        </w:rPr>
        <w:t xml:space="preserve">Bajo esa pauta hermenéutica, la ausencia de aclaración expresa en la parte resolutoria de que el valor de la donación deberá efectivizarse primariamente en el marco del proceso sucesorio no puede llevar a atribuirle al pronunciamiento la intención de habilitar una ejecución patrimonial autónoma e inmediata en favor de la actora al margen del trámite universal, desde que en sus considerandos el magistrado dejó expresamente establecido que la colación constituye una operación proyectada sobre la partición y que tanto la determinación definitiva del valor colacionable como su incidencia concreta en las hijuelas excedían el marco cognoscitivo del presente proceso. </w:t>
      </w:r>
    </w:p>
    <w:p>
      <w:pPr>
        <w:pStyle w:val="[Normal]"/>
        <w:spacing w:line="360" w:lineRule="auto"/>
        <w:ind w:firstLine="1134"/>
        <w:jc w:val="both"/>
        <w:rPr>
          <w:lang w:val="es-AR" w:eastAsia="es-AR" w:bidi="es-AR"/>
        </w:rPr>
      </w:pPr>
      <w:r>
        <w:rPr>
          <w:lang w:val="es-AR" w:eastAsia="es-AR" w:bidi="es-AR"/>
        </w:rPr>
        <w:t xml:space="preserve">En tal contexto, la condena impuesta debe ser entendida en el sentido de que la donación declarada colacionable habrá de ser computada y operativizada en el ámbito sucesorio correspondiente, al tiempo de practicarse las operaciones particionarias pertinentes, sin que de su sola formulación pueda derivarse, en esta etapa, la existencia de un crédito autónomo, líquido e inmediatamente exigible en favor de la actora. Así interpretado el fallo, la tacha de prematuridad, abstracción o inaplicabilidad que articula el recurrente pierde sustento bastante.</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1) Rechazar el recurso de apelación interpuesto por la parte demandada, confirmando en un todo al pronunciamiento recurrido.</w:t>
      </w:r>
    </w:p>
    <w:p>
      <w:pPr>
        <w:pStyle w:val="[Normal]"/>
        <w:spacing w:line="360" w:lineRule="auto"/>
        <w:ind w:firstLine="1134"/>
        <w:jc w:val="both"/>
        <w:rPr>
          <w:lang w:val="es-AR" w:eastAsia="es-AR" w:bidi="es-AR"/>
        </w:rPr>
      </w:pPr>
      <w:r>
        <w:rPr>
          <w:lang w:val="es-AR" w:eastAsia="es-AR" w:bidi="es-AR"/>
        </w:rPr>
        <w:t xml:space="preserve">2) Imponer las costas de Alzada a la parte vencida (art. 68/9 del CPCCBA).</w:t>
      </w:r>
    </w:p>
    <w:p>
      <w:pPr>
        <w:pStyle w:val="[Normal]"/>
        <w:spacing w:line="360" w:lineRule="auto"/>
        <w:ind w:firstLine="1134"/>
        <w:jc w:val="both"/>
        <w:rPr>
          <w:lang w:val="es-AR" w:eastAsia="es-AR" w:bidi="es-AR"/>
        </w:rPr>
      </w:pPr>
      <w:r>
        <w:rPr>
          <w:lang w:val="es-AR" w:eastAsia="es-AR" w:bidi="es-AR"/>
        </w:rPr>
        <w:t xml:space="preserve">3) Diferir la regulación de honorarios para su oportunidad (art. 31 de la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1) Rechazar el recurso de apelación interpuesto por la parte demandada, confirmando en un todo al pronunciamiento recurrido.</w:t>
      </w:r>
    </w:p>
    <w:p>
      <w:pPr>
        <w:pStyle w:val="[Normal]"/>
        <w:spacing w:line="360" w:lineRule="auto"/>
        <w:ind w:firstLine="1134"/>
        <w:jc w:val="both"/>
        <w:rPr>
          <w:lang w:val="es-AR" w:eastAsia="es-AR" w:bidi="es-AR"/>
        </w:rPr>
      </w:pPr>
      <w:r>
        <w:rPr>
          <w:lang w:val="es-AR" w:eastAsia="es-AR" w:bidi="es-AR"/>
        </w:rPr>
        <w:t xml:space="preserve">2) Imponer las costas de Alzada a la parte vencida (art. 68/9 del CPCCBA).</w:t>
      </w:r>
    </w:p>
    <w:p>
      <w:pPr>
        <w:pStyle w:val="[Normal]"/>
        <w:spacing w:line="360" w:lineRule="auto"/>
        <w:ind w:firstLine="1134"/>
        <w:jc w:val="both"/>
        <w:rPr>
          <w:lang w:val="es-AR" w:eastAsia="es-AR" w:bidi="es-AR"/>
        </w:rPr>
      </w:pPr>
      <w:r>
        <w:rPr>
          <w:lang w:val="es-AR" w:eastAsia="es-AR" w:bidi="es-AR"/>
        </w:rPr>
        <w:t xml:space="preserve">3) Diferir la regulación de honorarios para su oportunidad (art. 31 de la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27299684550@NOTIFICACIONES.SCBA.GOV.AR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20303125729@NOTIFICACIONES.SCBA.GOV.AR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18/06/2026 10:34:19 -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18/06/2026 10:56:00 -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18/06/2026 13:28:05 -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‰8$")è&amp;vE@^Š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240402090006863732</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18/06/2026 13:28:15 hs. bajo el número RS-106-2026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