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6065-26</w:t>
      </w:r>
      <w:r>
        <w:rPr>
          <w:lang w:val="es-AR" w:eastAsia="es-AR" w:bidi="es-AR"/>
        </w:rPr>
        <w:t xml:space="preserve"> caratulada </w:t>
      </w:r>
      <w:r>
        <w:rPr>
          <w:b/>
          <w:lang w:val="es-AR" w:eastAsia="es-AR" w:bidi="es-AR"/>
        </w:rPr>
        <w:t xml:space="preserve">"</w:t>
      </w:r>
      <w:r>
        <w:rPr>
          <w:b/>
          <w:color w:val="000000"/>
          <w:lang w:val="es-AR" w:eastAsia="es-AR" w:bidi="es-AR"/>
        </w:rPr>
        <w:t xml:space="preserve">ESCALANTE DANIEL OSCAR C/ AMX ARGENTINA S.A.  S/ ACCION DECLARATIVA (TRAM. SUMARISIMO)</w:t>
      </w:r>
      <w:r>
        <w:rPr>
          <w:b/>
          <w:lang w:val="es-AR" w:eastAsia="es-AR" w:bidi="es-AR"/>
        </w:rPr>
        <w:t xml:space="preserve">"</w:t>
      </w:r>
      <w:r>
        <w:rPr>
          <w:lang w:val="es-AR" w:eastAsia="es-AR" w:bidi="es-AR"/>
        </w:rPr>
        <w:t xml:space="preserve">, Expte. 90247</w:t>
      </w:r>
      <w:r>
        <w:rPr>
          <w:color w:val="000000"/>
          <w:lang w:val="es-AR" w:eastAsia="es-AR" w:bidi="es-AR"/>
        </w:rPr>
        <w:t xml:space="preserve"> </w:t>
      </w:r>
      <w:r>
        <w:rPr>
          <w:lang w:val="es-AR" w:eastAsia="es-AR" w:bidi="es-AR"/>
        </w:rPr>
        <w:t xml:space="preserve">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acción incoada por el Sr. Daniel Oscar Escalante.  Con costas a su cargo.	Reguló los honorarios de los letrados intervinientes, por las tareas realizadas en autos Dr. Mariano Pascual y  Dr. Oscar Alberto Aranda en la suma de 7 JUS DE UNIDAD ARANCELARIA respectivamente, con más el 10% en  concepto de aportes del art. 12 Inc. "a" ley 67l6 y el porcentaje del I.V.A. en caso de corresponder.</w:t>
      </w:r>
    </w:p>
    <w:p>
      <w:pPr>
        <w:pStyle w:val="[Normal]"/>
        <w:spacing w:line="360" w:lineRule="auto"/>
        <w:ind w:firstLine="1134"/>
        <w:jc w:val="both"/>
        <w:rPr>
          <w:lang w:val="es-AR" w:eastAsia="es-AR" w:bidi="es-AR"/>
        </w:rPr>
      </w:pPr>
      <w:r>
        <w:rPr>
          <w:lang w:val="es-AR" w:eastAsia="es-AR" w:bidi="es-AR"/>
        </w:rPr>
        <w:t xml:space="preserve">En disconformidad con lo resuelto apela sus honorarios por bajos  el apoderado de la parte demandada el 31-3-2026, y en fecha 6-4-2026 el apoderado de la parte actora apela la sentencia, fundando el 14-4-2026, recursos concedidos por art. 57 de la Ley 14.967 y en relación, respectivamente. Conferido el traslado de agravios pertinente a la contraparte es contestado el 21-4-2026.</w:t>
      </w:r>
    </w:p>
    <w:p>
      <w:pPr>
        <w:pStyle w:val="[Normal]"/>
        <w:spacing w:line="360" w:lineRule="auto"/>
        <w:ind w:firstLine="1134"/>
        <w:jc w:val="both"/>
        <w:rPr>
          <w:b/>
          <w:lang w:val="es-AR" w:eastAsia="es-AR" w:bidi="es-AR"/>
        </w:rPr>
      </w:pPr>
      <w:r>
        <w:rPr>
          <w:lang w:val="es-AR" w:eastAsia="es-AR" w:bidi="es-AR"/>
        </w:rPr>
        <w:t xml:space="preserve">Ingresados los autos a este organismo el 27-4-2026, previa vista al señor Agente Fiscal, se llama autos para resolver, providencia que estando firme deja la causa en condiciones de ser fallada.</w:t>
      </w:r>
      <w:r>
        <w:rPr>
          <w:b/>
          <w:lang w:val="es-AR" w:eastAsia="es-AR" w:bidi="es-AR"/>
        </w:rPr>
        <w:t xml:space="preserve">        </w:t>
      </w:r>
    </w:p>
    <w:p>
      <w:pPr>
        <w:pStyle w:val="[Normal]"/>
        <w:spacing w:line="360" w:lineRule="auto"/>
        <w:jc w:val="both"/>
        <w:rPr>
          <w:lang w:val="es-AR" w:eastAsia="es-AR" w:bidi="es-AR"/>
        </w:rPr>
      </w:pPr>
      <w:r>
        <w:rPr>
          <w:lang w:val="es-AR" w:eastAsia="es-AR" w:bidi="es-AR"/>
        </w:rPr>
        <w:t xml:space="preserve"> 	En sustento de su crítica recursiva, la parte actora explicita los siguientes puntos de agravios:	</w:t>
        <w:br w:type="textWrapping"/>
      </w:r>
      <w:r>
        <w:rPr>
          <w:lang w:val="es-AR" w:eastAsia="es-AR" w:bidi="es-AR"/>
        </w:rPr>
        <w:t xml:space="preserve"> 	1) Errónea conclusión sobre la inexistencia de perjuicio o lesión actual.  	</w:t>
        <w:br w:type="textWrapping"/>
      </w:r>
      <w:r>
        <w:rPr>
          <w:lang w:val="es-AR" w:eastAsia="es-AR" w:bidi="es-AR"/>
        </w:rPr>
        <w:t xml:space="preserve"> 	En este sentido, sostiene que el mantenimiento de una deuda informada como activa -que reputa prescripta- no constituye una mera incomodidad subjetiva, sino una afectación actual a su derecho a la autodeterminación informativa, buen nombre, honor, prestigio y dignidad. Dentro de este mismo agravio deben incluirse, como aspectos argumentales internos, la referencia al informe de EQUIFAX, las consultas efectuadas por terceros y la eventual incidencia en el scoring crediticio. 	</w:t>
        <w:br w:type="textWrapping"/>
      </w:r>
      <w:r>
        <w:rPr>
          <w:lang w:val="es-AR" w:eastAsia="es-AR" w:bidi="es-AR"/>
        </w:rPr>
        <w:t xml:space="preserve"> 	2) Incorrecta apreciación de la idoneidad de la acción declarativa para despejar la incertidumbre sobre la deuda. 	</w:t>
        <w:br w:type="textWrapping"/>
      </w:r>
      <w:r>
        <w:rPr>
          <w:lang w:val="es-AR" w:eastAsia="es-AR" w:bidi="es-AR"/>
        </w:rPr>
        <w:t xml:space="preserve"> 	Este agravio comprende dos planos que conviene no separar artificialmente. Por un lado, la actora afirma que AMX Argentina S.A. mantiene la deuda como subsistente y discutió que se encontrara prescripta. En esa lógica, el objeto de la acción no sería obtener una declaración abstracta, sino generar el presupuesto jurídico necesario para que el dato informado sea dado de baja, rectificado o actualizado.</w:t>
      </w:r>
    </w:p>
    <w:p>
      <w:pPr>
        <w:pStyle w:val="[Normal]"/>
        <w:spacing w:line="360" w:lineRule="auto"/>
        <w:jc w:val="both"/>
        <w:rPr>
          <w:lang w:val="es-AR" w:eastAsia="es-AR" w:bidi="es-AR"/>
        </w:rPr>
      </w:pPr>
      <w:r>
        <w:rPr>
          <w:lang w:val="es-AR" w:eastAsia="es-AR" w:bidi="es-AR"/>
        </w:rPr>
        <w:t xml:space="preserve"> 	3) Omisión de ponderar el antecedente del proceso de hábeas data y su incidencia sobre la necesidad de acudir a esta vía.</w:t>
      </w:r>
    </w:p>
    <w:p>
      <w:pPr>
        <w:pStyle w:val="[Normal]"/>
        <w:spacing w:line="360" w:lineRule="auto"/>
        <w:jc w:val="both"/>
        <w:rPr>
          <w:lang w:val="es-AR" w:eastAsia="es-AR" w:bidi="es-AR"/>
        </w:rPr>
      </w:pPr>
      <w:r>
        <w:rPr>
          <w:lang w:val="es-AR" w:eastAsia="es-AR" w:bidi="es-AR"/>
        </w:rPr>
        <w:t xml:space="preserve"> 	Aduce que en el proceso de habeas data se pretendió ampliar el objeto para obtener la actualización de los datos comerciales con constancia de la prescripción, pero ese planteo fue rechazado bajo el argumento de que la declaración de prescripción constituía una acción autónoma. Desde esa perspectiva, la presente acción declarativa no habría sido utilizada como vía subsidiaria impropia, sino como el cauce procesal indicado por la propia respuesta jurisdiccional anterior. La crítica, entonces, no se limita a invocar un antecedente conexo: apunta a demostrar que la sentencia recurrida habría dejado al actor sin un medio eficaz para obtener la rectificación o actualización del dato.</w:t>
      </w:r>
    </w:p>
    <w:p>
      <w:pPr>
        <w:pStyle w:val="[Normal]"/>
        <w:spacing w:line="360" w:lineRule="auto"/>
        <w:jc w:val="both"/>
        <w:rPr>
          <w:lang w:val="es-AR" w:eastAsia="es-AR" w:bidi="es-AR"/>
        </w:rPr>
      </w:pPr>
      <w:r>
        <w:rPr>
          <w:lang w:val="es-AR" w:eastAsia="es-AR" w:bidi="es-AR"/>
        </w:rPr>
        <w:t xml:space="preserve"> 	4) Aplicación inadecuada del precedente utilizado por la sentencia.</w:t>
      </w:r>
    </w:p>
    <w:p>
      <w:pPr>
        <w:pStyle w:val="[Normal]"/>
        <w:spacing w:line="360" w:lineRule="auto"/>
        <w:jc w:val="both"/>
        <w:rPr>
          <w:lang w:val="es-AR" w:eastAsia="es-AR" w:bidi="es-AR"/>
        </w:rPr>
      </w:pPr>
      <w:r>
        <w:rPr>
          <w:lang w:val="es-AR" w:eastAsia="es-AR" w:bidi="es-AR"/>
        </w:rPr>
        <w:t xml:space="preserve"> 	En tal aspecto, arguye que el precedente invocado no sería fácticamente asimilable, porque en este expediente existiría una información crediticia negativa vigente, un informe comercial acompañado y consultas efectuadas por terceros. Por ello, para la actora, la sentencia habría utilizado un antecedente que no refleja la especificidad del caso: no se trataría sólo de la falta de intimación de pago por parte de la acreedora, sino de la permanencia de un dato negativo en bases de información crediticia.</w:t>
      </w:r>
    </w:p>
    <w:p>
      <w:pPr>
        <w:pStyle w:val="[Normal]"/>
        <w:spacing w:line="360" w:lineRule="auto"/>
        <w:jc w:val="both"/>
        <w:rPr>
          <w:lang w:val="es-AR" w:eastAsia="es-AR" w:bidi="es-AR"/>
        </w:rPr>
      </w:pPr>
      <w:r>
        <w:rPr>
          <w:lang w:val="es-AR" w:eastAsia="es-AR" w:bidi="es-AR"/>
        </w:rPr>
        <w:t xml:space="preserve"> 	I.- Con carácter previo, corresponde abordar el planteo de la demandada orientado a que se declare desierto el recurso de apelación interpuesto por la parte actora.</w:t>
      </w:r>
    </w:p>
    <w:p>
      <w:pPr>
        <w:pStyle w:val="[Normal]"/>
        <w:spacing w:line="360" w:lineRule="auto"/>
        <w:jc w:val="both"/>
        <w:rPr>
          <w:lang w:val="es-AR" w:eastAsia="es-AR" w:bidi="es-AR"/>
        </w:rPr>
      </w:pPr>
      <w:r>
        <w:rPr>
          <w:lang w:val="es-AR" w:eastAsia="es-AR" w:bidi="es-AR"/>
        </w:rPr>
        <w:t xml:space="preserve"> 	El planteo no puede prosperar, ya que es sabido que la expresión de agravios debe contener una crítica concreta, razonada y autosuficiente de las partes del fallo que el apelante considera equivocadas. Sin embargo, también corresponde recordar que el examen de suficiencia del memorial no debe efectuarse con un rigorismo formal incompatible con la garantía de defensa en juicio y con el principio de revisión de las decisiones judiciales, máxime cuando del escrito recursivo es posible identificar con claridad cuáles son los errores que se atribuyen al pronunciamiento apelado.</w:t>
      </w:r>
    </w:p>
    <w:p>
      <w:pPr>
        <w:pStyle w:val="[Normal]"/>
        <w:spacing w:line="360" w:lineRule="auto"/>
        <w:jc w:val="both"/>
        <w:rPr>
          <w:lang w:val="es-AR" w:eastAsia="es-AR" w:bidi="es-AR"/>
        </w:rPr>
      </w:pPr>
      <w:r>
        <w:rPr>
          <w:lang w:val="es-AR" w:eastAsia="es-AR" w:bidi="es-AR"/>
        </w:rPr>
        <w:t xml:space="preserve"> 	En el caso, el memorial de la parte actora supera el umbral mínimo exigido por el art. 260 del CPCC. En efecto, la recurrente cuestiona de manera identificable la conclusión de la sentencia relativa a la inexistencia de perjuicio actual; reprocha la omisión de valorar el informe de EQUIFAX y las consultas efectuadas por terceros; controvierte la aplicación del precedente </w:t>
      </w:r>
      <w:r>
        <w:rPr>
          <w:i/>
          <w:lang w:val="es-AR" w:eastAsia="es-AR" w:bidi="es-AR"/>
        </w:rPr>
        <w:t xml:space="preserve">“Pérez”</w:t>
      </w:r>
      <w:r>
        <w:rPr>
          <w:lang w:val="es-AR" w:eastAsia="es-AR" w:bidi="es-AR"/>
        </w:rPr>
        <w:t xml:space="preserve">; invoca el antecedente del proceso de habeas data para justificar la necesidad de acudir a la acción declarativa; y sostiene que la declaración de prescripción constituye el presupuesto necesario para obtener la actualización o supresión del dato crediticio.</w:t>
      </w:r>
    </w:p>
    <w:p>
      <w:pPr>
        <w:pStyle w:val="[Normal]"/>
        <w:spacing w:line="360" w:lineRule="auto"/>
        <w:jc w:val="both"/>
        <w:rPr>
          <w:lang w:val="es-AR" w:eastAsia="es-AR" w:bidi="es-AR"/>
        </w:rPr>
      </w:pPr>
      <w:r>
        <w:rPr>
          <w:lang w:val="es-AR" w:eastAsia="es-AR" w:bidi="es-AR"/>
        </w:rPr>
        <w:t xml:space="preserve"> 	Que dichos argumentos resulten finalmente atendibles o no pertenece al plano del mérito del recurso, no al de su admisibilidad formal. Confundir ambos niveles importaría anticipar, bajo la apariencia de insuficiencia técnica una decisión sobre la procedencia sustancial de la apelación.	 </w:t>
        <w:br w:type="textWrapping"/>
      </w:r>
      <w:r>
        <w:rPr>
          <w:lang w:val="es-AR" w:eastAsia="es-AR" w:bidi="es-AR"/>
        </w:rPr>
        <w:t xml:space="preserve"> 	Por ello, corresponde rechazar el pedido de deserción formulado por la demandada e ingresar en el tratamiento de los agravios planteados por la parte actora.</w:t>
      </w:r>
    </w:p>
    <w:p>
      <w:pPr>
        <w:pStyle w:val="[Normal]"/>
        <w:spacing w:line="360" w:lineRule="auto"/>
        <w:jc w:val="both"/>
        <w:rPr>
          <w:lang w:val="es-AR" w:eastAsia="es-AR" w:bidi="es-AR"/>
        </w:rPr>
      </w:pPr>
      <w:r>
        <w:rPr>
          <w:lang w:val="es-AR" w:eastAsia="es-AR" w:bidi="es-AR"/>
        </w:rPr>
        <w:t xml:space="preserve"> 	II.- Ya entrando a la resolución del recurso, corresponde precisar que el núcleo de la revisión no consiste en reeditar íntegramente el conocimiento de la controversia, sino en determinar si los fundamentos dados por la sentencia apelada resisten los agravios concretamente formulados por la parte actora. </w:t>
      </w:r>
    </w:p>
    <w:p>
      <w:pPr>
        <w:pStyle w:val="[Normal]"/>
        <w:spacing w:line="360" w:lineRule="auto"/>
        <w:jc w:val="both"/>
        <w:rPr>
          <w:lang w:val="es-AR" w:eastAsia="es-AR" w:bidi="es-AR"/>
        </w:rPr>
      </w:pPr>
      <w:r>
        <w:rPr>
          <w:lang w:val="es-AR" w:eastAsia="es-AR" w:bidi="es-AR"/>
        </w:rPr>
        <w:t xml:space="preserve"> 	En particular, debe establecerse si la registración vigente de la deuda atribuida al actor en una base de información crediticia, cuya exigibilidad se encuentra controvertida por la invocación de la prescripción liberatoria satisface los recaudos de incertidumbre, perjuicio actual e inexistencia de otro medio legal más idóneo exigidos por el art. 322 del C.P.C. y C. ; y, en su caso, si corresponde avanzar sobre la declaración de prescripción y sus eventuales efectos respecto del dato informado.</w:t>
      </w:r>
    </w:p>
    <w:p>
      <w:pPr>
        <w:pStyle w:val="[Normal]"/>
        <w:spacing w:line="360" w:lineRule="auto"/>
        <w:jc w:val="both"/>
        <w:rPr>
          <w:lang w:val="es-AR" w:eastAsia="es-AR" w:bidi="es-AR"/>
        </w:rPr>
      </w:pPr>
      <w:r>
        <w:rPr>
          <w:lang w:val="es-AR" w:eastAsia="es-AR" w:bidi="es-AR"/>
        </w:rPr>
        <w:t xml:space="preserve"> 	A los efectos metodológicos, corresponde efectuar un breve repaso de los requisitos de procedencia de la acción declarativa de certeza, a fin de determinar si la vía intentada por el actor resulta admisible en el caso concreto y, más específicamente, si el rechazo dispuesto en la instancia de grado se ajusta a derecho.</w:t>
      </w:r>
    </w:p>
    <w:p>
      <w:pPr>
        <w:pStyle w:val="[Normal]"/>
        <w:spacing w:line="360" w:lineRule="auto"/>
        <w:jc w:val="both"/>
        <w:rPr>
          <w:lang w:val="es-AR" w:eastAsia="es-AR" w:bidi="es-AR"/>
        </w:rPr>
      </w:pPr>
      <w:r>
        <w:rPr>
          <w:lang w:val="es-AR" w:eastAsia="es-AR" w:bidi="es-AR"/>
        </w:rPr>
        <w:t xml:space="preserve"> 	El Código Procesal Civil y Comercial bonaerense habilita al justiciable a promover acción meramente declarativa cuando el resultado pretendido consiste en hacer cesar un estado de incertidumbre sobre la existencia, alcance o modalidades de una relación jurídica, siempre que esa falta de certeza pudiera producir un perjuicio o lesión actual al actor y éste no dispusiere de otro medio legal para ponerle término inmediatamente.</w:t>
        <w:br w:type="textWrapping"/>
      </w:r>
      <w:r>
        <w:rPr>
          <w:lang w:val="es-AR" w:eastAsia="es-AR" w:bidi="es-AR"/>
        </w:rPr>
        <w:t xml:space="preserve"> 	Del propio texto del art. 322 del C.P.C. y C. emergen tres recaudos de admisibilidad: 1) la existencia de un estado de incertidumbre sobre una relación o situación jurídica; 2) la posibilidad de que esa falta de certeza produzca un perjuicio o lesión actual; y 3 la inexistencia de otro medio legal más idóneo para poner término inmediato a esa situación.</w:t>
      </w:r>
    </w:p>
    <w:p>
      <w:pPr>
        <w:pStyle w:val="[Normal]"/>
        <w:spacing w:line="360" w:lineRule="auto"/>
        <w:jc w:val="both"/>
        <w:rPr>
          <w:lang w:val="es-AR" w:eastAsia="es-AR" w:bidi="es-AR"/>
        </w:rPr>
      </w:pPr>
      <w:r>
        <w:rPr>
          <w:lang w:val="es-AR" w:eastAsia="es-AR" w:bidi="es-AR"/>
        </w:rPr>
        <w:t xml:space="preserve"> 	1.- Con relación al primero de los requisitos mencionados, cabe recordar que esta Cámara ha sostenido que una interpretación armónica de la norma procesal y de la regulación civil y comercial de fondo permite admitir la acción declarativa no sólo para determinar el alcance o modalidad de una relación jurídica, sino también para despejar la incertidumbre que pudiera mediar sobre la existencia y efectos de una determinada situación jurídica. Así fue expuesto por este Tribunal en la causa n° 5486-24, “Otazu Marcelo Alejandro c/ Comafi Fiduciario Financiero S.A. y otro/a s/ Acción declarativa (tram. sumarísimo)”, Expte. n° 88.623 del Juzgado Civil y Comercial n° 2 de Pergamino, en la que se reiteró que la sentencia dictada en el marco del art. 322 del C.P.C. y C. no configura ni constituye derechos, sino que esclarece las particularidades de una situación jurídica que hasta ese momento lucía incierta.</w:t>
      </w:r>
    </w:p>
    <w:p>
      <w:pPr>
        <w:pStyle w:val="[Normal]"/>
        <w:spacing w:line="360" w:lineRule="auto"/>
        <w:jc w:val="both"/>
        <w:rPr>
          <w:lang w:val="es-AR" w:eastAsia="es-AR" w:bidi="es-AR"/>
        </w:rPr>
      </w:pPr>
      <w:r>
        <w:rPr>
          <w:lang w:val="es-AR" w:eastAsia="es-AR" w:bidi="es-AR"/>
        </w:rPr>
        <w:t xml:space="preserve"> 	Desde esa perspectiva, entiendo que el recaudo de incertidumbre se encuentra configurado en autos, en tanto no se encuentra controvertido que Daniel Oscar Escalante mantuvo con AMX Argentina S.A. una relación de consumo derivada de la contratación de servicios de telecomunicación; que la deuda cuya prescripción se pretende se vincula con la línea n° 2477504340; y que, en el marco del proceso de habeas data previamente promovido, la demandada informó la existencia de una acreencia por la suma de $6.568,63, con fecha de mora 03/03/2022.	</w:t>
        <w:br w:type="textWrapping"/>
      </w:r>
      <w:r>
        <w:rPr>
          <w:lang w:val="es-AR" w:eastAsia="es-AR" w:bidi="es-AR"/>
        </w:rPr>
        <w:t xml:space="preserve"> 	La controversia aparece, precisamente, en torno a la subsistencia jurídica de esa acreencia. Mientras el actor sostiene que resulta aplicable el plazo bienal previsto por el art. 2562 inc. c del Cgo. Civ. y Com., por tratarse del reclamo de sumas devengadas en períodos mensuales correspondientes a un servicio de telefonía móvil, la demandada afirma que corresponde aplicar el plazo genérico quinquenal del art. 2560 del Cog. Civ y Com.	</w:t>
        <w:br w:type="textWrapping"/>
      </w:r>
      <w:r>
        <w:rPr>
          <w:lang w:val="es-AR" w:eastAsia="es-AR" w:bidi="es-AR"/>
        </w:rPr>
        <w:t xml:space="preserve"> 	Esa discrepancia no reviste carácter meramente académico o consultivo. La deuda no permanece sólo asentada en los registros internos de AMX Argentina S.A., sino que -según surge del planteo inicial y de los agravios- continúa informada en bases de datos de información crediticia, en particular EQUIFAX, circunstancia que el actor invoca como presupuesto de su pretensión de actualización, rectificación o supresión del dato.</w:t>
        <w:br w:type="textWrapping"/>
      </w:r>
      <w:r>
        <w:rPr>
          <w:lang w:val="es-AR" w:eastAsia="es-AR" w:bidi="es-AR"/>
        </w:rPr>
        <w:t xml:space="preserve"> 	En ese contexto, la declaración de prescripción pretendida no aparece orientada a obtener una opinión judicial abstracta, sino a esclarecer una situación jurídica concreta: si la deuda informada por AMX Argentina S.A. conserva o no exigibilidad actual y, por derivación de ello, si puede continuar siendo comunicada como obligación vigente en sistemas de información crediticia.	</w:t>
        <w:br w:type="textWrapping"/>
      </w:r>
      <w:r>
        <w:rPr>
          <w:lang w:val="es-AR" w:eastAsia="es-AR" w:bidi="es-AR"/>
        </w:rPr>
        <w:t xml:space="preserve"> 	No obsta a esta conclusión que la prescripción opere de pleno derecho, esta Cámara ha señalado que el carácter ipso iure de la prescripción no significa que el juez pueda declararla de oficio ni que pueda hacerse valer con independencia de toda declaración judicial. En ese sentido se pronunció en la causa n° 4942-23, </w:t>
      </w:r>
      <w:r>
        <w:rPr>
          <w:i/>
          <w:lang w:val="es-AR" w:eastAsia="es-AR" w:bidi="es-AR"/>
        </w:rPr>
        <w:t xml:space="preserve">“Pineda Ariel Fernando c/ Fideicomiso Financiero Privado Frankel s/ Acción declarativa (tram. sumarísimo)”</w:t>
      </w:r>
      <w:r>
        <w:rPr>
          <w:lang w:val="es-AR" w:eastAsia="es-AR" w:bidi="es-AR"/>
        </w:rPr>
        <w:t xml:space="preserve">, sentencia del 27/06/2023, criterio luego reiterado en </w:t>
      </w:r>
      <w:r>
        <w:rPr>
          <w:i/>
          <w:lang w:val="es-AR" w:eastAsia="es-AR" w:bidi="es-AR"/>
        </w:rPr>
        <w:t xml:space="preserve">“Otazu Marcelo Alejandro c/ Comafi Fiduciario Financiero S.A. y otro/a s/ Acción declarativa (tram. sumarísimo)”</w:t>
      </w:r>
      <w:r>
        <w:rPr>
          <w:lang w:val="es-AR" w:eastAsia="es-AR" w:bidi="es-AR"/>
        </w:rPr>
        <w:t xml:space="preserve">, causa n° 5486-24.	</w:t>
        <w:br w:type="textWrapping"/>
      </w:r>
      <w:r>
        <w:rPr>
          <w:lang w:val="es-AR" w:eastAsia="es-AR" w:bidi="es-AR"/>
        </w:rPr>
        <w:t xml:space="preserve"> 	Por el contrario, una vez operado el plazo legal, la posibilidad de invocar la prescripción pertenece al deudor, quien debe alegarla y probarla por la vía procesal pertinente. En el caso, el actor ha desplegado precisamente esa actividad al promover la presente acción declarativa, procurando obtener certeza sobre la exigibilidad de una deuda que la demandada no reconoce como prescripta y que, además, se proyecta en el ámbito de la información crediticia.	</w:t>
        <w:br w:type="textWrapping"/>
      </w:r>
      <w:r>
        <w:rPr>
          <w:lang w:val="es-AR" w:eastAsia="es-AR" w:bidi="es-AR"/>
        </w:rPr>
        <w:t xml:space="preserve"> 	Tampoco puede predicarse la inexistencia de controversia por el solo hecho de que AMX Argentina S.A. no haya promovido una ejecución judicial o cursado una intimación fehaciente de pago. Ese dato podrá tener relevancia al examinar el requisito del perjuicio actual, pero no elimina por sí solo la incertidumbre jurídica aquí configurada. La duda objetiva no surge únicamente de la eventual actividad de cobro de la acreedora, sino de la coexistencia entre: a) la invocación de prescripción formulada por el titular del dato; b) la resistencia de AMX Argentina S.A., que postula la aplicación de un plazo más extenso; y c) la subsistencia de la deuda en una base de información crediticia como dato actualmente relevante para terceros.</w:t>
      </w:r>
    </w:p>
    <w:p>
      <w:pPr>
        <w:pStyle w:val="[Normal]"/>
        <w:spacing w:line="360" w:lineRule="auto"/>
        <w:jc w:val="both"/>
        <w:rPr>
          <w:lang w:val="es-AR" w:eastAsia="es-AR" w:bidi="es-AR"/>
        </w:rPr>
      </w:pPr>
      <w:r>
        <w:rPr>
          <w:lang w:val="es-AR" w:eastAsia="es-AR" w:bidi="es-AR"/>
        </w:rPr>
        <w:t xml:space="preserve"> 	Por ello, corresponde tener por acreditado el primer presupuesto de admisibilidad de la acción declarativa: existe una incertidumbre objetiva, actual y jurídicamente relevante sobre la exigibilidad de la deuda atribuida al actor y sobre los efectos que la eventual prescripción debe proyectar en la información crediticia comunicada por la demandada. Cumplido este primer recaudo, corresponde avanzar sobre el análisis del perjuicio o lesión actual exigido por el art. 322 del CPCC.	</w:t>
        <w:br w:type="textWrapping"/>
      </w:r>
      <w:r>
        <w:rPr>
          <w:lang w:val="es-AR" w:eastAsia="es-AR" w:bidi="es-AR"/>
        </w:rPr>
        <w:t xml:space="preserve"> 	2.- Lo expuesto abre paso al examen del segundo requisito que como anticipábamos, exige que la falta de certeza mencionada sea susceptible de producir un perjuicio o lesión actual a la parte actora.</w:t>
        <w:br w:type="textWrapping"/>
      </w:r>
      <w:r>
        <w:rPr>
          <w:lang w:val="es-AR" w:eastAsia="es-AR" w:bidi="es-AR"/>
        </w:rPr>
        <w:t xml:space="preserve"> 	Este perjuicio es el presupuesto que da soporte a su pretensión, porque media un interés -económico o moral- que le comunica atendibilidad. El actor debe venir necesitado de usar este medio jurisdiccional para cancelar la incerteza pues, de lo contrario, sin esa intervención, sufriría un daño material, espiritual, extrapatrimonial o moral. Así lo ha sostenido esta Cámara en la causa n° 5486-24, “Otazu" citada </w:t>
      </w:r>
      <w:r>
        <w:rPr>
          <w:i/>
          <w:lang w:val="es-AR" w:eastAsia="es-AR" w:bidi="es-AR"/>
        </w:rPr>
        <w:t xml:space="preserve">ut supra</w:t>
      </w:r>
      <w:r>
        <w:rPr>
          <w:lang w:val="es-AR" w:eastAsia="es-AR" w:bidi="es-AR"/>
        </w:rPr>
        <w:t xml:space="preserve">.	</w:t>
        <w:br w:type="textWrapping"/>
      </w:r>
      <w:r>
        <w:rPr>
          <w:lang w:val="es-AR" w:eastAsia="es-AR" w:bidi="es-AR"/>
        </w:rPr>
        <w:t xml:space="preserve"> 	Precisamente sobre este punto, también se ha recordado que, si bien la falta de certeza exigida por la norma ritual debe ser actual, la acción igualmente procede cuando el perjuicio que esa falta de certeza produzca al actor sea futuro pero inmediato. Ello no significa que la acción declarativa pueda ser utilizada con fines meramente consultivos o especulativos, sino que debe sustentarse en un caso concreto y en un interés jurídico objetivamente atendible.</w:t>
      </w:r>
    </w:p>
    <w:p>
      <w:pPr>
        <w:pStyle w:val="[Normal]"/>
        <w:spacing w:line="360" w:lineRule="auto"/>
        <w:jc w:val="both"/>
        <w:rPr>
          <w:lang w:val="es-AR" w:eastAsia="es-AR" w:bidi="es-AR"/>
        </w:rPr>
      </w:pPr>
      <w:r>
        <w:rPr>
          <w:lang w:val="es-AR" w:eastAsia="es-AR" w:bidi="es-AR"/>
        </w:rPr>
        <w:t xml:space="preserve"> 	En el caso bajo examen, la jueza de grado descartó la configuración de este recaudo por considerar que la existencia de un informe comercial desfavorable no implica necesariamente un menoscabo actual y concreto, agregando que no se había acreditado un daño real, tangible y verificable en el presente o en un futuro próximo.</w:t>
      </w:r>
    </w:p>
    <w:p>
      <w:pPr>
        <w:pStyle w:val="[Normal]"/>
        <w:spacing w:line="360" w:lineRule="auto"/>
        <w:jc w:val="both"/>
        <w:rPr>
          <w:lang w:val="es-AR" w:eastAsia="es-AR" w:bidi="es-AR"/>
        </w:rPr>
      </w:pPr>
      <w:r>
        <w:rPr>
          <w:lang w:val="es-AR" w:eastAsia="es-AR" w:bidi="es-AR"/>
        </w:rPr>
        <w:t xml:space="preserve"> 	No comparto esa conclusión.</w:t>
      </w:r>
    </w:p>
    <w:p>
      <w:pPr>
        <w:pStyle w:val="[Normal]"/>
        <w:spacing w:line="360" w:lineRule="auto"/>
        <w:jc w:val="both"/>
        <w:rPr>
          <w:lang w:val="es-AR" w:eastAsia="es-AR" w:bidi="es-AR"/>
        </w:rPr>
      </w:pPr>
      <w:r>
        <w:rPr>
          <w:lang w:val="es-AR" w:eastAsia="es-AR" w:bidi="es-AR"/>
        </w:rPr>
        <w:t xml:space="preserve"> 	Es cierto que la sola invocación genérica de incomodidad, molestia o preocupación subjetiva no basta para satisfacer el presupuesto de perjuicio actual previsto por el art. 322 del C.P.C. y C.. También es cierto que este expediente no presenta la intensidad fáctica que tuvo la causa </w:t>
      </w:r>
      <w:r>
        <w:rPr>
          <w:i/>
          <w:lang w:val="es-AR" w:eastAsia="es-AR" w:bidi="es-AR"/>
        </w:rPr>
        <w:t xml:space="preserve">“Otazu”</w:t>
      </w:r>
      <w:r>
        <w:rPr>
          <w:lang w:val="es-AR" w:eastAsia="es-AR" w:bidi="es-AR"/>
        </w:rPr>
        <w:t xml:space="preserve">, donde la procedencia de la acción se sostuvo, entre otros extremos, en la existencia de reclamos de pago cursados al actor y a terceros allegados, lo que colocaba al accionante en una situación de mayor exposición frente a gestiones extrajudiciales de cobro.	</w:t>
        <w:br w:type="textWrapping"/>
      </w:r>
      <w:r>
        <w:rPr>
          <w:lang w:val="es-AR" w:eastAsia="es-AR" w:bidi="es-AR"/>
        </w:rPr>
        <w:t xml:space="preserve"> 	Sin embargo, el caso tampoco puede ser equiparado sin más al precedente “Pérez”. En la causa n° 5151-23, </w:t>
      </w:r>
      <w:r>
        <w:rPr>
          <w:i/>
          <w:lang w:val="es-AR" w:eastAsia="es-AR" w:bidi="es-AR"/>
        </w:rPr>
        <w:t xml:space="preserve">“Pérez Lidia Mabel c/ Banco Sáenz S.A. s/ Acción declarativa (tram. sumarísimo)”</w:t>
      </w:r>
      <w:r>
        <w:rPr>
          <w:lang w:val="es-AR" w:eastAsia="es-AR" w:bidi="es-AR"/>
        </w:rPr>
        <w:t xml:space="preserve">, Expte. n° 87.987 del Juzgado Civil y Comercial n° 1 de Pergamino, sentencia del 20/02/2024, esta Cámara rechazó la acción porque no se había acreditado un perjuicio actual derivado de la falta de certeza invocada. El propio memorial de la actora destaca que allí no se verificaba un supuesto equiparable al presente, en tanto en estos autos sí existe un informe comercial desfavorable difundido en bases de datos de información crediticia y consultado por terceros.</w:t>
      </w:r>
    </w:p>
    <w:p>
      <w:pPr>
        <w:pStyle w:val="[Normal]"/>
        <w:spacing w:line="360" w:lineRule="auto"/>
        <w:jc w:val="both"/>
        <w:rPr>
          <w:lang w:val="es-AR" w:eastAsia="es-AR" w:bidi="es-AR"/>
        </w:rPr>
      </w:pPr>
      <w:r>
        <w:rPr>
          <w:lang w:val="es-AR" w:eastAsia="es-AR" w:bidi="es-AR"/>
        </w:rPr>
        <w:t xml:space="preserve"> 	La diferencia es relevante. Aquí no se trata de un simple registro interno de la parte acreedora ni de una mera incertidumbre subjetiva respecto de una deuda asentada en la contabilidad de AMX Argentina S.A. La propia demandada reconoció que, con motivo de la mora que atribuye al actor, procedió a informar la existencia de la deuda ante EQUIFAX. Además, del informe comercial acompañado surge que esa información se inserta en un sistema destinado a la evaluación y celebración de negocios, aun cuando el informe aclare que no contiene juicios de valor sobre la solvencia de la persona consultada y que la decisión final corresponde al usuario.</w:t>
      </w:r>
    </w:p>
    <w:p>
      <w:pPr>
        <w:pStyle w:val="[Normal]"/>
        <w:spacing w:line="360" w:lineRule="auto"/>
        <w:jc w:val="both"/>
        <w:rPr>
          <w:lang w:val="es-AR" w:eastAsia="es-AR" w:bidi="es-AR"/>
        </w:rPr>
      </w:pPr>
      <w:r>
        <w:rPr>
          <w:lang w:val="es-AR" w:eastAsia="es-AR" w:bidi="es-AR"/>
        </w:rPr>
        <w:t xml:space="preserve"> 	A ello se suma un dato que la sentencia de grado no ponderó en su real dimensión: según el memorial, el informe de EQUIFAX acompañado con la demanda -cuya autenticidad se invoca como acreditada por contestación de oficio agregada el 09/10/2025- registra consultas efectuadas al perfil crediticio del actor por la Asociación Mutual del Plata de Pergamino y por Banco Santander Río S.A. en marzo y abril de 2025, respectivamente.</w:t>
      </w:r>
    </w:p>
    <w:p>
      <w:pPr>
        <w:pStyle w:val="[Normal]"/>
        <w:spacing w:line="360" w:lineRule="auto"/>
        <w:jc w:val="both"/>
        <w:rPr>
          <w:lang w:val="es-AR" w:eastAsia="es-AR" w:bidi="es-AR"/>
        </w:rPr>
      </w:pPr>
      <w:r>
        <w:rPr>
          <w:lang w:val="es-AR" w:eastAsia="es-AR" w:bidi="es-AR"/>
        </w:rPr>
        <w:t xml:space="preserve"> 	En consecuencia, la afectación no se reduce a una molestia íntima o a una disconformidad abstracta con la existencia de una deuda informada. La deuda cuya prescripción se pretende aparece comunicada a una base de datos de información crediticia, permanece asociada al perfil del actor y ha sido objeto de consulta por terceros que, por la naturaleza del sistema en el que acceden a esa información, pueden utilizarla como elemento para evaluar solvencia, riesgo o condiciones de contratación.</w:t>
      </w:r>
    </w:p>
    <w:p>
      <w:pPr>
        <w:pStyle w:val="[Normal]"/>
        <w:spacing w:line="360" w:lineRule="auto"/>
        <w:jc w:val="both"/>
        <w:rPr>
          <w:lang w:val="es-AR" w:eastAsia="es-AR" w:bidi="es-AR"/>
        </w:rPr>
      </w:pPr>
      <w:r>
        <w:rPr>
          <w:lang w:val="es-AR" w:eastAsia="es-AR" w:bidi="es-AR"/>
        </w:rPr>
        <w:t xml:space="preserve"> 	Por ello exigir al actor la prueba de un crédito efectivamente denegado, de una operación frustrada o de una concreta modificación desfavorable en las condiciones de contratación importaría trasladar al ámbito de la acción declarativa un estándar propio de una pretensión resarcitoria. El art. 322 del C.P.C. y C. no exige la demostración de un daño consumado en términos patrimoniales, sino la existencia de una falta de certeza jurídicamente relevante con aptitud para producir un perjuicio actual o inmediato.</w:t>
      </w:r>
    </w:p>
    <w:p>
      <w:pPr>
        <w:pStyle w:val="[Normal]"/>
        <w:spacing w:line="360" w:lineRule="auto"/>
        <w:jc w:val="both"/>
        <w:rPr>
          <w:lang w:val="es-AR" w:eastAsia="es-AR" w:bidi="es-AR"/>
        </w:rPr>
      </w:pPr>
      <w:r>
        <w:rPr>
          <w:lang w:val="es-AR" w:eastAsia="es-AR" w:bidi="es-AR"/>
        </w:rPr>
        <w:t xml:space="preserve"> 	No obsta a esta conclusión lo argumentado por la demandada al contestar agravios, en cuanto sostuvo que las consultas efectuadas por terceros constituirían una práctica habitual del sistema financiero y que no se habría probado que ellas derivaran en denegación de crédito, imposición de condiciones desfavorables o cualquier otro efecto concreto.</w:t>
      </w:r>
    </w:p>
    <w:p>
      <w:pPr>
        <w:pStyle w:val="[Normal]"/>
        <w:spacing w:line="360" w:lineRule="auto"/>
        <w:jc w:val="both"/>
        <w:rPr>
          <w:lang w:val="es-AR" w:eastAsia="es-AR" w:bidi="es-AR"/>
        </w:rPr>
      </w:pPr>
      <w:r>
        <w:rPr>
          <w:lang w:val="es-AR" w:eastAsia="es-AR" w:bidi="es-AR"/>
        </w:rPr>
        <w:t xml:space="preserve"> 	Ese razonamiento no resulta atendible porque parte de un estándar probatorio más exigente que el propio de la acción declarativa. Lo que aquí debe verificarse no es la existencia de un daño patrimonial consumado, sino la presencia de una incertidumbre jurídica con aptitud actual o inmediata para proyectarse desfavorablemente sobre la esfera de derechos del actor. </w:t>
      </w:r>
    </w:p>
    <w:p>
      <w:pPr>
        <w:pStyle w:val="[Normal]"/>
        <w:spacing w:line="360" w:lineRule="auto"/>
        <w:jc w:val="both"/>
        <w:rPr>
          <w:lang w:val="es-AR" w:eastAsia="es-AR" w:bidi="es-AR"/>
        </w:rPr>
      </w:pPr>
      <w:r>
        <w:rPr>
          <w:lang w:val="es-AR" w:eastAsia="es-AR" w:bidi="es-AR"/>
        </w:rPr>
        <w:t xml:space="preserve"> 	Desde esa óptica, la subsistencia de una deuda informada como vigente en una base de datos crediticia externa, pública y efectivamente consultada por tercero configura un interés jurídico actual suficiente para habilitar la vía declarativa. Insisto, ello es así, no porque toda registración negativa baste automáticamente para abrir esta clase de procesos, sino porque en el caso concurren circunstancias objetivas que exteriorizan su potencialidad lesiva: la comunicación del dato por la propia acreedora, su permanencia en un sistema de evaluación crediticia accesible a solicitantes distintos de la demandada y la consulta efectiva por terceros.</w:t>
      </w:r>
    </w:p>
    <w:p>
      <w:pPr>
        <w:pStyle w:val="[Normal]"/>
        <w:spacing w:line="360" w:lineRule="auto"/>
        <w:jc w:val="both"/>
        <w:rPr>
          <w:lang w:val="es-AR" w:eastAsia="es-AR" w:bidi="es-AR"/>
        </w:rPr>
      </w:pPr>
      <w:r>
        <w:rPr>
          <w:lang w:val="es-AR" w:eastAsia="es-AR" w:bidi="es-AR"/>
        </w:rPr>
        <w:t xml:space="preserve"> 	Aquí esta la diferencia específica con el precedente </w:t>
      </w:r>
      <w:r>
        <w:rPr>
          <w:i/>
          <w:lang w:val="es-AR" w:eastAsia="es-AR" w:bidi="es-AR"/>
        </w:rPr>
        <w:t xml:space="preserve">“Pérez”</w:t>
      </w:r>
      <w:r>
        <w:rPr>
          <w:lang w:val="es-AR" w:eastAsia="es-AR" w:bidi="es-AR"/>
        </w:rPr>
        <w:t xml:space="preserve"> invocado por la magistrada de grado. En aquel supuesto no se había acreditado una exteriorización actual de la deuda en registros de información crediticia ni un impacto objetivo sobre la esfera patrimonial o comercial de la accionante. En el presente, en cambio, la información negativa no permanece en el ámbito interno de AMX Argentina S.A., sino que circula en una base de datos destinada a terceros usuarios y ha sido efectivamente consultada.</w:t>
      </w:r>
    </w:p>
    <w:p>
      <w:pPr>
        <w:pStyle w:val="[Normal]"/>
        <w:spacing w:line="360" w:lineRule="auto"/>
        <w:jc w:val="both"/>
        <w:rPr>
          <w:lang w:val="es-AR" w:eastAsia="es-AR" w:bidi="es-AR"/>
        </w:rPr>
      </w:pPr>
      <w:r>
        <w:rPr>
          <w:lang w:val="es-AR" w:eastAsia="es-AR" w:bidi="es-AR"/>
        </w:rPr>
        <w:t xml:space="preserve"> 	Tampoco resulta necesario asimilar este caso por completo a </w:t>
      </w:r>
      <w:r>
        <w:rPr>
          <w:i/>
          <w:lang w:val="es-AR" w:eastAsia="es-AR" w:bidi="es-AR"/>
        </w:rPr>
        <w:t xml:space="preserve">“Otazu”</w:t>
      </w:r>
      <w:r>
        <w:rPr>
          <w:lang w:val="es-AR" w:eastAsia="es-AR" w:bidi="es-AR"/>
        </w:rPr>
        <w:t xml:space="preserve">. En aquel precedente el perjuicio actual se configuró a partir de una actividad cobratoria persistente, incluso dirigida a terceros, mientras que aquí la lesión se presenta bajo otra modalidad: la exposición informativa-crediticia derivada de la comunicación y mantenimiento de un dato adverso cuya exactitud depende de despejar previamente la controversia sobre la prescripción. La diferencia fáctica no debilita la pretensión; simplemente exige precisar cuál es la fuente del perjuicio actual en este expediente.</w:t>
      </w:r>
    </w:p>
    <w:p>
      <w:pPr>
        <w:pStyle w:val="[Normal]"/>
        <w:spacing w:line="360" w:lineRule="auto"/>
        <w:jc w:val="both"/>
        <w:rPr>
          <w:lang w:val="es-AR" w:eastAsia="es-AR" w:bidi="es-AR"/>
        </w:rPr>
      </w:pPr>
      <w:r>
        <w:rPr>
          <w:lang w:val="es-AR" w:eastAsia="es-AR" w:bidi="es-AR"/>
        </w:rPr>
        <w:t xml:space="preserve"> 	En virtud de lo expuesto, considero que el segundo requisito de la acción declarativa también se encuentra acreditado. En efecto, la falta de certeza sobre la exigibilidad de la deuda no se proyecta aquí sobre un plano meramente hipotético, sino sobre una información crediticia vigente, comunicada por la demandada y consultada por terceros, lo que otorga al actor un interés jurídico actual en obtener un pronunciamiento que defina la situación de la acreencia y permita, en su caso, la rectificación, actualización o supresión del dato informado.</w:t>
      </w:r>
    </w:p>
    <w:p>
      <w:pPr>
        <w:pStyle w:val="[Normal]"/>
        <w:spacing w:line="360" w:lineRule="auto"/>
        <w:jc w:val="both"/>
        <w:rPr>
          <w:lang w:val="es-AR" w:eastAsia="es-AR" w:bidi="es-AR"/>
        </w:rPr>
      </w:pPr>
      <w:r>
        <w:rPr>
          <w:lang w:val="es-AR" w:eastAsia="es-AR" w:bidi="es-AR"/>
        </w:rPr>
        <w:t xml:space="preserve"> 	3.- Por último, corresponde examinar si se verifica en la causa el requisito relativo a la inexistencia de otra solución procesal más idónea para satisfacer el interés del accionante.</w:t>
      </w:r>
    </w:p>
    <w:p>
      <w:pPr>
        <w:pStyle w:val="[Normal]"/>
        <w:spacing w:line="360" w:lineRule="auto"/>
        <w:jc w:val="both"/>
        <w:rPr>
          <w:lang w:val="es-AR" w:eastAsia="es-AR" w:bidi="es-AR"/>
        </w:rPr>
      </w:pPr>
      <w:r>
        <w:rPr>
          <w:lang w:val="es-AR" w:eastAsia="es-AR" w:bidi="es-AR"/>
        </w:rPr>
        <w:t xml:space="preserve"> 	Cabe señalar que este recaudo exige comprobar que el actor no disponga de otro medio legal apto para arribar al mismo resultado, esto es, poner fin de modo inmediato a la lesión o perjuicio derivado del estado de incertidumbre relativo a la existencia, alcance o modalidad de la relación jurídica.	</w:t>
        <w:br w:type="textWrapping"/>
      </w:r>
      <w:r>
        <w:rPr>
          <w:lang w:val="es-AR" w:eastAsia="es-AR" w:bidi="es-AR"/>
        </w:rPr>
        <w:t xml:space="preserve"> 	Tal condición negativa determina el carácter excepcional de la pretensión meramente declarativa, pues su ejercicio se ve impedido cuando el interesado cuenta con otro mecanismo procesal que permita obtener, con igual o mayor eficacia, la tutela jurisdiccional perseguida.</w:t>
      </w:r>
    </w:p>
    <w:p>
      <w:pPr>
        <w:pStyle w:val="[Normal]"/>
        <w:spacing w:line="360" w:lineRule="auto"/>
        <w:jc w:val="both"/>
        <w:rPr>
          <w:lang w:val="es-AR" w:eastAsia="es-AR" w:bidi="es-AR"/>
        </w:rPr>
      </w:pPr>
      <w:r>
        <w:rPr>
          <w:lang w:val="es-AR" w:eastAsia="es-AR" w:bidi="es-AR"/>
        </w:rPr>
        <w:t xml:space="preserve"> 	En este sentido, esta Cámara ha recordado que la acción declarativa de certeza no puede ser utilizada como un medio omnicomprensivo y versátil destinado a sortear los obstáculos jurídicos o temporales de las vías específicamente previstas por el legislador. Así fue señalado en la causa n° 5486-24, </w:t>
      </w:r>
      <w:r>
        <w:rPr>
          <w:i/>
          <w:lang w:val="es-AR" w:eastAsia="es-AR" w:bidi="es-AR"/>
        </w:rPr>
        <w:t xml:space="preserve">“Otazu"</w:t>
      </w:r>
      <w:r>
        <w:rPr>
          <w:lang w:val="es-AR" w:eastAsia="es-AR" w:bidi="es-AR"/>
        </w:rPr>
        <w:t xml:space="preserve"> ya referida ut supra, donde se destacó, a su vez, que lo decisivo no es la existencia abstracta de otras vías, sino si ellas resultan concretamente aptas para asegurar el imperio del derecho en el caso sometido a decisión.</w:t>
      </w:r>
    </w:p>
    <w:p>
      <w:pPr>
        <w:pStyle w:val="[Normal]"/>
        <w:spacing w:line="360" w:lineRule="auto"/>
        <w:jc w:val="both"/>
        <w:rPr>
          <w:shd w:val="clear" w:color="auto" w:fill="FFFFFF"/>
          <w:lang w:val="es-AR" w:eastAsia="es-AR" w:bidi="es-AR"/>
        </w:rPr>
      </w:pPr>
      <w:r>
        <w:rPr>
          <w:lang w:val="es-AR" w:eastAsia="es-AR" w:bidi="es-AR"/>
        </w:rPr>
        <w:t xml:space="preserve"> 	La Casación bonaerense se ha ocupado de remarcar la necesidad de que quien la promueve no cuente con otro medio legal para poner término a esa situación. 	 </w:t>
        <w:br w:type="textWrapping"/>
      </w:r>
      <w:r>
        <w:rPr>
          <w:lang w:val="es-AR" w:eastAsia="es-AR" w:bidi="es-AR"/>
        </w:rPr>
        <w:t xml:space="preserve"> 	Sobre tales premisas, la Corte Nacional ha entendido que: 1) la acción declarativa tiene carácter subsidiario y, en tal sentido, está subordinada a la comprobación por el actor de que no disponga de otro medio legal para ponerle fin inmediatamente al estado de incertidumbre, y 2) que no procede la acción declarativa si la demandante no ha utilizado los remedios administrativos previstos en el ordenamiento fiscal local a fin de obtener la revisión de la intimación de regularización impositiva. Así en un instructivo precedente, el Alto Tribunal nacional consideró que el accionante pudo cumplir con un requisito específico del régimen tributario como es la regla </w:t>
      </w:r>
      <w:r>
        <w:rPr>
          <w:i/>
          <w:lang w:val="es-AR" w:eastAsia="es-AR" w:bidi="es-AR"/>
        </w:rPr>
        <w:t xml:space="preserve">solve et repete</w:t>
      </w:r>
      <w:r>
        <w:rPr>
          <w:lang w:val="es-AR" w:eastAsia="es-AR" w:bidi="es-AR"/>
        </w:rPr>
        <w:t xml:space="preserve"> y acatar la intimación que se le formulara, máxime que tal recaudo no había sido cuestionado en su aplicación al caso, ni se había alegado que su cumplimiento debiera ser dispensado (CSJN, 20/10/83, LL, 1984-A-423).	</w:t>
        <w:br w:type="textWrapping"/>
      </w:r>
      <w:r>
        <w:rPr>
          <w:lang w:val="es-AR" w:eastAsia="es-AR" w:bidi="es-AR"/>
        </w:rPr>
        <w:t xml:space="preserve"> 	En otro precedente, la Corte bonaerense tuvo oportunidad de explicar el alcance del requisito en cuestión, al especificar que la inexistencia de otra vía que supone la acción declarativa de certeza  (art. 322 del CPCC) no queda configurada cuando existe otro medio para obtener el reconocimiento del derecho que, por el transcurso del tiempo o cualquier otra circunstancia imputable al propio interesado, no fue actuado ( Cf. SCBA, </w:t>
      </w:r>
      <w:r>
        <w:rPr>
          <w:i/>
          <w:lang w:val="es-AR" w:eastAsia="es-AR" w:bidi="es-AR"/>
        </w:rPr>
        <w:t xml:space="preserve">“Iturrieta, Juan Bautista c/ Consorcio “Galería Brown” s/ Acción meramente declarativa”</w:t>
      </w:r>
      <w:r>
        <w:rPr>
          <w:lang w:val="es-AR" w:eastAsia="es-AR" w:bidi="es-AR"/>
        </w:rPr>
        <w:t xml:space="preserve">, Juba sumario B3903758, 22/5/2013).	</w:t>
        <w:br w:type="textWrapping"/>
      </w:r>
      <w:r>
        <w:rPr>
          <w:lang w:val="es-AR" w:eastAsia="es-AR" w:bidi="es-AR"/>
        </w:rPr>
        <w:t xml:space="preserve"> 	Claro está que no corresponde descarrilar por el extremo opuesto y sostener dogmáticamente la tesis de la exclusión de la acción meramente declarativa frente a la simple existencia de otras vías, pues su consecuencia sería una derogación implícita o virtual del texto legal que no es admisible como resultado de la interpretación judicial de las normas. Lo relevante es analizar si esas acciones son aptas o no como modo de asegurar el imperio del derecho (</w:t>
      </w:r>
      <w:r>
        <w:rPr>
          <w:shd w:val="clear" w:color="auto" w:fill="FFFFFF"/>
          <w:lang w:val="es-AR" w:eastAsia="es-AR" w:bidi="es-AR"/>
        </w:rPr>
        <w:t xml:space="preserve">MOREA, Adrián,  </w:t>
      </w:r>
      <w:r>
        <w:rPr>
          <w:i/>
          <w:shd w:val="clear" w:color="auto" w:fill="FFFFFF"/>
          <w:lang w:val="es-AR" w:eastAsia="es-AR" w:bidi="es-AR"/>
        </w:rPr>
        <w:t xml:space="preserve">"La acción meramente </w:t>
      </w:r>
      <w:r>
        <w:rPr>
          <w:rStyle w:val="markpglqyepv7"/>
          <w:rFonts w:ascii="Arial" w:hAnsi="Arial" w:eastAsia="Arial" w:cs="Arial"/>
          <w:i/>
          <w:shd w:val="clear" w:color="auto" w:fill="FFFFFF"/>
          <w:lang w:val="es-AR" w:eastAsia="es-AR" w:bidi="es-AR"/>
        </w:rPr>
        <w:t xml:space="preserve">declarativa</w:t>
      </w:r>
      <w:r>
        <w:rPr>
          <w:i/>
          <w:shd w:val="clear" w:color="auto" w:fill="FFFFFF"/>
          <w:lang w:val="es-AR" w:eastAsia="es-AR" w:bidi="es-AR"/>
        </w:rPr>
        <w:t xml:space="preserve"> en el Código Procesal Civil y Comercial de la Nación"</w:t>
      </w:r>
      <w:r>
        <w:rPr>
          <w:shd w:val="clear" w:color="auto" w:fill="FFFFFF"/>
          <w:lang w:val="es-AR" w:eastAsia="es-AR" w:bidi="es-AR"/>
        </w:rPr>
        <w:t xml:space="preserve">, Publicado en Temas de Derecho Procesal N° Febrero de 2024).</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Bajo tales premisas, entiendo que este tercer recaudo también se encuentra satisfecho.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rigor, no puede perderse de vista que la pretensión aquí deducida no se agota en un pedido de rectificación o supresión de datos personales, sino que tiene como presupuesto lógico y jurídico la previa declaración de prescripción de la deuda informada por AMX Argentina S.A. en bases de información crediticia.	</w:t>
        <w:br w:type="textWrapping"/>
      </w:r>
      <w:r>
        <w:rPr>
          <w:shd w:val="clear" w:color="auto" w:fill="FFFFFF"/>
          <w:lang w:val="es-AR" w:eastAsia="es-AR" w:bidi="es-AR"/>
        </w:rPr>
        <w:t xml:space="preserve"> 	Este dato resulta decisivo. El actor ya promovió la causa </w:t>
      </w:r>
      <w:r>
        <w:rPr>
          <w:i/>
          <w:shd w:val="clear" w:color="auto" w:fill="FFFFFF"/>
          <w:lang w:val="es-AR" w:eastAsia="es-AR" w:bidi="es-AR"/>
        </w:rPr>
        <w:t xml:space="preserve">“Escalante Daniel Oscar c/ AMX Argentina S.A. s/ Habeas Data”</w:t>
      </w:r>
      <w:r>
        <w:rPr>
          <w:shd w:val="clear" w:color="auto" w:fill="FFFFFF"/>
          <w:lang w:val="es-AR" w:eastAsia="es-AR" w:bidi="es-AR"/>
        </w:rPr>
        <w:t xml:space="preserve">, Expte. n° 68209, en trámite ante el Juzgado de Primera Instancia en lo Civil y Comercial n° 3 del Departamento Judicial Pergamino, con el objeto de obtener información sobre las deudas registradas a su nombre. En ese proceso, luego de que la accionada informara la existencia de la deuda vinculada con la línea n° 2477504340, el actor intentó ampliar el objeto para que se ordenara la actualización de los datos comerciales asentados en bases de información crediticia, consignando que la deuda derivada del servicio de telefonía móvil se encontraba prescripta.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Ese planteo fue rechazado. Según surge del memorial, al resolver la revocatoria interpuesta, el magistrado del Juzgado Civil y Comercial n° 3 de Pergamino sostuvo que lo pretendido por el actor -esto es, la declaración de prescripción de una deuda- constituía una acción autónoma y no un simple pedido de rectificación o supresión dentro del habeas data.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De allí que la presente acción declarativa no puede ser vista como una vía subsidiaria impropia ni como un intento de sustituir indebidamente el cauce específico de protección de datos personales. Por el contrario, aparece como el medio procesal idóneo para obtener la declaración jurídica que condiciona la procedencia de la actualización o rectificación del dato crediticio.	</w:t>
        <w:br w:type="textWrapping"/>
      </w:r>
      <w:r>
        <w:rPr>
          <w:shd w:val="clear" w:color="auto" w:fill="FFFFFF"/>
          <w:lang w:val="es-AR" w:eastAsia="es-AR" w:bidi="es-AR"/>
        </w:rPr>
        <w:t xml:space="preserve"> 	La vía de habeas data podrá resultar útil para corregir, actualizar, suprimir o completar datos personales cuando la inexactitud o desactualización pueda ser apreciada sin necesidad de un debate declarativo previo sobre la existencia o exigibilidad de una relación obligacional. Pero cuando la controversia radica, como aquí, en determinar si la acción de cobro de la deuda se encuentra prescripta, el habeas data no luce como un carril adecuado para despejar por sí solo la situación jurídica subyacente.</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Sostener lo contrario conduciría a una solución circular. Por un lado, se rechazaría la ampliación del habeas data porque la prescripción debe discutirse por vía autónoma; y, por otro, se negaría la acción declarativa porque el actor contaría con el habeas data para obtener la actualización del dato. Esa conclusión dejaría sin respuesta jurisdiccional eficaz al núcleo real del conflicto: determinar si la deuda informada por AMX Argentina S.A. conserva exigibilidad actual y, en función de ello, si puede continuar siendo comunicada como obligación vigente en registros de información crediticia.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este punto, el caso vuelve a guardar afinidad con el criterio aplicado por esta Cámara en </w:t>
      </w:r>
      <w:r>
        <w:rPr>
          <w:i/>
          <w:shd w:val="clear" w:color="auto" w:fill="FFFFFF"/>
          <w:lang w:val="es-AR" w:eastAsia="es-AR" w:bidi="es-AR"/>
        </w:rPr>
        <w:t xml:space="preserve">“Otazu"</w:t>
      </w:r>
      <w:r>
        <w:rPr>
          <w:shd w:val="clear" w:color="auto" w:fill="FFFFFF"/>
          <w:lang w:val="es-AR" w:eastAsia="es-AR" w:bidi="es-AR"/>
        </w:rPr>
        <w:t xml:space="preserve">, en cuanto allí se sostuvo que, aun cuando pudieran existir vías que abordaran tangencialmente la problemática, ninguna exhibía mayor idoneidad que la acción declarativa para obtener el reconocimiento del carácter prescripto de la deuda objeto del pleito.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La misma lógica se proyecta en estas actuaciones. Aunque el actor pueda eventualmente valerse de los mecanismos previstos en la ley 25.326 para perseguir la actualización, rectificación o supresión del dato, la definición acerca de la prescripción de la deuda constituye una cuestión previa que debe ser esclarecida mediante un pronunciamiento declarativo. La tutela de datos personales opera aquí como consecuencia eventual de la certeza que se procura obtener, no como vía procesal sustitutiva de la declaración de prescripción.</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consecuencia, corresponde tener por verificado el requisito de inexistencia de otro medio legal más idóneo. La acción declarativa promovida resulta adecuada para despejar la incertidumbre relativa a la exigibilidad de la deuda derivada de la línea n° 2477504340 y para brindar el presupuesto jurídico necesario a fin de que, en su caso, se arbitren las medidas de actualización, rectificación o supresión de la información crediticia comunicada por la demandada.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II.- Verificados los requisitos de procedencia de la acción declarativa, corresponde ingresar en el tratamiento de la cuestión sustancial que constituye el presupuesto de la pretensión de actualización o rectificación del dato crediticio: determinar si la acción de cobro correspondiente a la deuda derivada de la línea n° 2477504340 se encuentra prescripta.	</w:t>
        <w:br w:type="textWrapping"/>
      </w:r>
      <w:r>
        <w:rPr>
          <w:shd w:val="clear" w:color="auto" w:fill="FFFFFF"/>
          <w:lang w:val="es-AR" w:eastAsia="es-AR" w:bidi="es-AR"/>
        </w:rPr>
        <w:t xml:space="preserve"> 	Este análisis resulta procedente en esta instancia, pues la revocación del fundamento utilizado por la sentencia de grado para rechazar la vía intentada no impone necesariamente el reenvío de las actuaciones. Hallándose la causa en estado de resolver y habiendo sido la cuestión de fondo introducida por las partes en sus respectivas postulaciones, corresponde que este Tribunal se expida sobre la pretensión sustancial, en tanto ello constituye derivación necesaria de la admisión de los agravios examinados.</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tal sentido, cabe recordar que la actora fundó su pretensión en la aplicación del plazo bienal previsto por el art. 2562 inc. c del Cod. Civ y Com, por considerar que la deuda proviene de facturas mensuales derivadas de un servicio de telefonía móvil. AMX Argentina S.A., por su parte, resistió esa conclusión y sostuvo que el plazo aplicable es el genérico de cinco años contemplado por el art. 2560 del mismo cuerpo normativo.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La cuestión a decidir queda entonces circunscripta a determinar si la acreencia informada por la demandada encuadra en la previsión del art. 2562 inc. c del CCyC -</w:t>
      </w:r>
      <w:r>
        <w:rPr>
          <w:i/>
          <w:shd w:val="clear" w:color="auto" w:fill="FFFFFF"/>
          <w:lang w:val="es-AR" w:eastAsia="es-AR" w:bidi="es-AR"/>
        </w:rPr>
        <w:t xml:space="preserve">“todo lo que se devenga por años o plazos periódicos más cortos”</w:t>
      </w:r>
      <w:r>
        <w:rPr>
          <w:shd w:val="clear" w:color="auto" w:fill="FFFFFF"/>
          <w:lang w:val="es-AR" w:eastAsia="es-AR" w:bidi="es-AR"/>
        </w:rPr>
        <w:t xml:space="preserve">- o si, por el contrario, corresponde aplicar el plazo genérico quinquenal.	</w:t>
        <w:br w:type="textWrapping"/>
      </w:r>
      <w:r>
        <w:rPr>
          <w:shd w:val="clear" w:color="auto" w:fill="FFFFFF"/>
          <w:lang w:val="es-AR" w:eastAsia="es-AR" w:bidi="es-AR"/>
        </w:rPr>
        <w:t xml:space="preserve"> 	A mi modo de ver, asiste razón a la parte actora.	</w:t>
        <w:br w:type="textWrapping"/>
      </w:r>
      <w:r>
        <w:rPr>
          <w:shd w:val="clear" w:color="auto" w:fill="FFFFFF"/>
          <w:lang w:val="es-AR" w:eastAsia="es-AR" w:bidi="es-AR"/>
        </w:rPr>
        <w:t xml:space="preserve"> 	No se encuentra controvertido que la deuda se originó en una relación de consumo vinculada con la prestación de servicios de telecomunicación. La propia demandada, al contestar demanda, expresó que el actor era titular de la línea n° 2477504340, dada de alta el 16/01/2020 bajo modalidad pospago; que abonó las facturas emitidas mensualmente hasta el 03/12/2021; y que luego incurrió en mora respecto de cuatro facturas, por un monto total de $6.568,63. También reconoció que, con motivo de esa mora, informó la deuda ante EQUIFAX.	</w:t>
        <w:br w:type="textWrapping"/>
      </w:r>
      <w:r>
        <w:rPr>
          <w:shd w:val="clear" w:color="auto" w:fill="FFFFFF"/>
          <w:lang w:val="es-AR" w:eastAsia="es-AR" w:bidi="es-AR"/>
        </w:rPr>
        <w:t xml:space="preserve"> 	Esa descripción resulta determinante. No estamos frente al reintegro de un capital entregado en préstamo ni ante el recupero de una suma única fraccionada en cuotas, supuesto expresamente excluido por el art. 2562 inc. c del CCyC. Se trata, antes bien, del reclamo de importes devengados periódicamente por la prestación de un servicio de tracto sucesivo, facturado en períodos mensuales.	</w:t>
        <w:br w:type="textWrapping"/>
      </w:r>
      <w:r>
        <w:rPr>
          <w:shd w:val="clear" w:color="auto" w:fill="FFFFFF"/>
          <w:lang w:val="es-AR" w:eastAsia="es-AR" w:bidi="es-AR"/>
        </w:rPr>
        <w:t xml:space="preserve"> 	La facturación mensual del servicio no constituye una mera modalidad accidental de pago, sino el modo ordinario de devengamiento de la obligación a cargo del usuario. Cada período genera una prestación dineraria exigible en función del servicio prestado durante ese lapso, lo que ubica el crédito en el ámbito de las obligaciones que se devengan por años o plazos periódicos más cortos.</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Desde esa perspectiva, la aplicación del plazo genérico del art. 2560 del Cod. Civ. y Com. importaría desplazar sin fundamento una regla especial que contempla precisamente la hipótesis de prestaciones periódicas. La norma general sólo opera cuando no existe un plazo especial aplicable; y en el caso el legislador ha previsto expresamente un plazo abreviado para el reclamo de prestaciones que se devengan en períodos anuales o menores.</w:t>
        <w:br w:type="textWrapping"/>
      </w:r>
      <w:r>
        <w:rPr>
          <w:shd w:val="clear" w:color="auto" w:fill="FFFFFF"/>
          <w:lang w:val="es-AR" w:eastAsia="es-AR" w:bidi="es-AR"/>
        </w:rPr>
        <w:t xml:space="preserve"> 	Tampoco modifica esta conclusión que la deuda haya sido informada como un saldo total de $6.568,63. La agregación contable de cuatro facturas impagas no altera la naturaleza periódica de la obligación reclamada. El crédito no pierde su origen mensual por el hecho de que la acreedora lo consolide luego en una suma única a los fines de su registración o gestión de cobro.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Aquí, la postura de la demandada, fundada en la aplicación del plazo genérico del art. 2560 ya mencionado, no resulta convincente. Al respecto, es dable recordar que la regla general sólo opera en ausencia de un plazo especial, y en el caso existe una previsión específica para el reclamo de prestaciones que se devengan por años o plazos periódicos más cortos. La propia descripción efectuada por AMX Argentina S.A. revela que la deuda proviene de facturas mensuales impagas correspondientes a un servicio pospago de telecomunicaciones, extremo que la ubica dentro del ámbito del art. 2562 inc. c del Cod. Civ y Com. y no en el plazo residual quinquenal, y es por ello  que corresponda aplicar el plazo de prescripción de dos años previsto por la norma.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cuanto al cómputo, la fecha de mora informada en el proceso fue el 03/03/2022, extremo que también surge de la plataforma fáctica reseñada en la sentencia apelada. La demanda fue promovida el 30/06/2025. Aun tomando como punto de partida la fecha de mora indicada por la propia acreedora, el plazo bienal se encontraba cumplido con anterioridad al inicio de estas actuaciones.</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consecuencia, corresponde declarar prescripta la acción de cobro de la deuda derivada de la línea n° 2477504340, por la suma de $6.568,63, informada por AMX Argentina S.A. respecto de Daniel Oscar Escalante.</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III.- Resta determinar los efectos que la declaración de prescripción proyecta sobre la información crediticia comunicada por la demandada.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Este aspecto debe ser examinado a la luz del agravio mediante el cual la parte actora cuestiona que la sentencia de grado haya omitido considerar el deber de exactitud y actualización que pesa sobre quien informa datos personales, así como la incidencia que la declaración de prescripción debe producir sobre la deuda comunicada en bases de datos de información crediticia.	</w:t>
        <w:br w:type="textWrapping"/>
      </w:r>
      <w:r>
        <w:rPr>
          <w:shd w:val="clear" w:color="auto" w:fill="FFFFFF"/>
          <w:lang w:val="es-AR" w:eastAsia="es-AR" w:bidi="es-AR"/>
        </w:rPr>
        <w:t xml:space="preserve"> 	Sobre este punto, corresponde tener especialmente presente el criterio adoptado por esta Cámara en la causa n° 4942-23, </w:t>
      </w:r>
      <w:r>
        <w:rPr>
          <w:i/>
          <w:shd w:val="clear" w:color="auto" w:fill="FFFFFF"/>
          <w:lang w:val="es-AR" w:eastAsia="es-AR" w:bidi="es-AR"/>
        </w:rPr>
        <w:t xml:space="preserve">“Pineda Ariel Fernando c/ Fideicomiso Financiero Privado Frankel s/ Acción declarativa (tram. sumarísimo)”</w:t>
      </w:r>
      <w:r>
        <w:rPr>
          <w:shd w:val="clear" w:color="auto" w:fill="FFFFFF"/>
          <w:lang w:val="es-AR" w:eastAsia="es-AR" w:bidi="es-AR"/>
        </w:rPr>
        <w:t xml:space="preserve">, Expte. n° 65.657 del Juzgado en lo Civil y Comercial n° 3 de Pergamino, sentencia del 27/06/2023. En dicho precedente, la Alzada abordó específicamente el alcance del art. 26 inc. 4 de la ley 25.326 frente a una deuda declarada prescripta que continuaba siendo informada en registros crediticios. Allí se sostuvo que la expresión</w:t>
      </w:r>
      <w:r>
        <w:rPr>
          <w:i/>
          <w:shd w:val="clear" w:color="auto" w:fill="FFFFFF"/>
          <w:lang w:val="es-AR" w:eastAsia="es-AR" w:bidi="es-AR"/>
        </w:rPr>
        <w:t xml:space="preserve"> “cancele o de otro modo extinga la obligación” </w:t>
      </w:r>
      <w:r>
        <w:rPr>
          <w:shd w:val="clear" w:color="auto" w:fill="FFFFFF"/>
          <w:lang w:val="es-AR" w:eastAsia="es-AR" w:bidi="es-AR"/>
        </w:rPr>
        <w:t xml:space="preserve">constituye una fórmula abierta que comprende a la prescripción liberatoria, en tanto modo extintivo de obligaciones, y que la norma no exige que la causal de extinción sea atribuible exclusivamente al deudor.	</w:t>
        <w:br w:type="textWrapping"/>
      </w:r>
      <w:r>
        <w:rPr>
          <w:shd w:val="clear" w:color="auto" w:fill="FFFFFF"/>
          <w:lang w:val="es-AR" w:eastAsia="es-AR" w:bidi="es-AR"/>
        </w:rPr>
        <w:t xml:space="preserve"> 	En ese mismo precedente se destacó que, aun cuando la prescripción se produzca por el transcurso del tiempo y la inacción del acreedor, su eficacia jurídica requiere la actividad del deudor que la invoca y prueba, sea por vía de acción o de excepción. De allí que la prescripción liberatoria declarada judicialmente no pueda ser considerada ajena a la previsión del art. 26 inc. 4 de la ley 25.326, pues se trata de uno de los modos por los cuales la obligación deja de conservar exigibilidad jurídica.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La consecuencia de ello no es necesariamente la supresión automática e inmediata de toda referencia histórica a la deuda, sino la necesidad de que la información crediticia refleje con fidelidad la real situación jurídica de la obligación. Esta Cámara señaló en </w:t>
      </w:r>
      <w:r>
        <w:rPr>
          <w:i/>
          <w:shd w:val="clear" w:color="auto" w:fill="FFFFFF"/>
          <w:lang w:val="es-AR" w:eastAsia="es-AR" w:bidi="es-AR"/>
        </w:rPr>
        <w:t xml:space="preserve">“Pineda”</w:t>
      </w:r>
      <w:r>
        <w:rPr>
          <w:shd w:val="clear" w:color="auto" w:fill="FFFFFF"/>
          <w:lang w:val="es-AR" w:eastAsia="es-AR" w:bidi="es-AR"/>
        </w:rPr>
        <w:t xml:space="preserve"> que los datos informados deben ser fidedignos y actualizados, en consonancia con los principios que rigen la protección de datos personales, en particular los de exactitud y actualización previstos por el art. 4 de la ley 25.326. Por tal razón, ordenó que en las bases de datos de información crediticia en las que la deuda se encontrara informada se hiciera constar que aquélla había sido declarada prescripta, consignando el modo y la fecha en que la prescripción había operado.	</w:t>
        <w:br w:type="textWrapping"/>
      </w:r>
      <w:r>
        <w:rPr>
          <w:shd w:val="clear" w:color="auto" w:fill="FFFFFF"/>
          <w:lang w:val="es-AR" w:eastAsia="es-AR" w:bidi="es-AR"/>
        </w:rPr>
        <w:t xml:space="preserve"> 	Ese criterio resulta trasladable al presente caso.	</w:t>
        <w:br w:type="textWrapping"/>
      </w:r>
      <w:r>
        <w:rPr>
          <w:shd w:val="clear" w:color="auto" w:fill="FFFFFF"/>
          <w:lang w:val="es-AR" w:eastAsia="es-AR" w:bidi="es-AR"/>
        </w:rPr>
        <w:t xml:space="preserve"> 	En autos, la deuda comunicada por AMX Argentina S.A. deriva de la línea n° 2477504340 y registra como fecha de mora el 03/03/2022. Si, como se concluyó en el considerando precedente, corresponde aplicar el plazo bienal previsto por el art. 2562 inc. c del Cod. Civ. y Com, la prescripción liberatoria operó el 03/03/2024.</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Por consiguiente, la información crediticia no puede continuar presentando la acreencia como deuda activa, vigente o actualmente exigible sin aclaración alguna relativa a la prescripción declarada. Una deuda prescripta puede conservar relevancia histórica en los términos y por los plazos admitidos por el régimen de información crediticia, pero no puede ser informada de manera incompleta o equívoca, pues ello contradice el deber de exactitud que pesa sobre el responsable del tratamiento del dato.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De allí que la manda judicial debe ser formulada en términos acordes al precedente citado. Corresponde ordenar a AMX Argentina S.A. que comunique a EQUIFAX Argentina S.A. y a toda otra base de datos de información crediticia a la que hubiera informado la deuda derivada de la línea n° 2477504340, que dicha acreencia ha sido declarada prescripta por sentencia judicial, consignando como modo de extinción la prescripción liberatoria y como fecha de operatividad el 03/03/2024.</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Ahora bien, el criterio impuesto en </w:t>
      </w:r>
      <w:r>
        <w:rPr>
          <w:i/>
          <w:shd w:val="clear" w:color="auto" w:fill="FFFFFF"/>
          <w:lang w:val="es-AR" w:eastAsia="es-AR" w:bidi="es-AR"/>
        </w:rPr>
        <w:t xml:space="preserve">“Pineda”</w:t>
      </w:r>
      <w:r>
        <w:rPr>
          <w:shd w:val="clear" w:color="auto" w:fill="FFFFFF"/>
          <w:lang w:val="es-AR" w:eastAsia="es-AR" w:bidi="es-AR"/>
        </w:rPr>
        <w:t xml:space="preserve"> también impone atender al plazo reducido previsto por el art. 26 inc. 4 de la ley 25.326. Si la prescripción liberatoria queda comprendida dentro de la expresión </w:t>
      </w:r>
      <w:r>
        <w:rPr>
          <w:i/>
          <w:shd w:val="clear" w:color="auto" w:fill="FFFFFF"/>
          <w:lang w:val="es-AR" w:eastAsia="es-AR" w:bidi="es-AR"/>
        </w:rPr>
        <w:t xml:space="preserve">“cancele o de otro modo extinga la obligación”</w:t>
      </w:r>
      <w:r>
        <w:rPr>
          <w:shd w:val="clear" w:color="auto" w:fill="FFFFFF"/>
          <w:lang w:val="es-AR" w:eastAsia="es-AR" w:bidi="es-AR"/>
        </w:rPr>
        <w:t xml:space="preserve">, el plazo de conservación de la información significativa para evaluar la solvencia económico-financiera se reduce a dos años, debiéndose hacer constar el hecho extintivo. En este caso, computado dicho plazo desde el 03/03/2024, su vencimiento se produjo el 03/03/2026.</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Por ello, al momento actual, no basta con ordenar que el dato sea completado con la indicación de la prescripción. Hallándose vencido el plazo bienal reducido previsto por el art. 26 inc. 4 de la ley 25.326, corresponde disponer que AMX Argentina S.A. arbitre los medios necesarios para que la deuda sea suprimida de las bases de datos de información crediticia en las que hubiera sido informada.</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Esta solución armoniza los dos planos involucrados. Por un lado, reconoce que durante el plazo legalmente admitido la información podía ser mantenida, siempre que fuera exacta, completa y actualizada mediante la constancia de la prescripción liberatoria, su modo y su fecha. Por otro lado, una vez vencido el plazo reducido de dos años computado desde la extinción de la obligación, ya no subsiste habilitación normativa para mantener el antecedente crediticio adverso, por lo que corresponde su supresión.</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este sentido, y a fin de fundar la reingeniería procesal de la orden judicial en cuestión, resulta útil recordar el criterio seguido por esta Cámara en la causa n° 3531-19, </w:t>
      </w:r>
      <w:r>
        <w:rPr>
          <w:i/>
          <w:shd w:val="clear" w:color="auto" w:fill="FFFFFF"/>
          <w:lang w:val="es-AR" w:eastAsia="es-AR" w:bidi="es-AR"/>
        </w:rPr>
        <w:t xml:space="preserve">“Jalil Mirta Susana c/ Jumelle Luis Darío y otro/a s/ Desalojo falta de pago”</w:t>
      </w:r>
      <w:r>
        <w:rPr>
          <w:shd w:val="clear" w:color="auto" w:fill="FFFFFF"/>
          <w:lang w:val="es-AR" w:eastAsia="es-AR" w:bidi="es-AR"/>
        </w:rPr>
        <w:t xml:space="preserve">, Expte. n° 80.726 del Juzgado en lo Civil y Comercial n° 2 de Pergamino, sentencia del 08/10/2019. Allí se sostuvo que el Tribunal de Alzada puede ponderar circunstancias temporales sobrevinientes o consolidadas durante el trámite del proceso cuando ellas se encuentran íntimamente vinculadas con la relación jurídica litigiosa y resultan decisivas para otorgar una respuesta jurisdiccional útil. En esa línea, se destacó que resolver con abstracción de tales circunstancias implicaría concebir la sentencia como un acto estático y pétreo, en lugar de interpretarla como una norma jurídica dinámica orientada a brindar una solución adecuada al conflicto.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En el mismo precedente se recordó que, conforme al art. 272 del C.P.C. y C., el Tribunal debe resolver sobre las cuestiones derivadas de hechos posteriores a la sentencia de primera instancia cuando se encuentren indisolublemente vinculadas con la materia litigiosa. También se señaló que lo relevante es satisfacer el resultado práctico adecuado a lo perseguido por el recurrente y evitar un dispendio jurisdiccional inútil cuando la evolución temporal del vínculo torna procedente una consecuencia que se deriva naturalmente del objeto del proceso.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Ese razonamiento resulta trasladable, con las adaptaciones propias del caso, a la presente controversia. La parte actora no sólo solicitó la declaración de prescripción de la deuda, sino también que esa declaración produjera efectos sobre la información crediticia difundida por AMX Argentina S.A. Por ello, una vez determinado que la prescripción operó el 03/03/2024, el vencimiento del plazo bienal reducido previsto por el art. 26 inc. 4 de la ley 25.326 no constituye una cuestión nueva o ajena al proceso, sino la consecuencia temporal necesaria del propio régimen legal invocado. 	 	De allí que, al momento actual, no basta con ordenar que el dato sea completado con la indicación de la prescripción. Hallándose vencido el plazo bienal reducido previsto por el art. 26 inc. 4 de la ley 25.326, corresponde disponer que AMX Argentina S.A. arbitre los medios necesarios para que la deuda sea suprimida de las bases de datos de información crediticia en las que hubiera sido informada.</w:t>
      </w:r>
    </w:p>
    <w:p>
      <w:pPr>
        <w:pStyle w:val="[Normal]"/>
        <w:spacing w:line="360" w:lineRule="auto"/>
        <w:ind w:firstLine="1134"/>
        <w:jc w:val="both"/>
        <w:rPr>
          <w:shd w:val="clear" w:color="auto" w:fill="FFFFFF"/>
          <w:lang w:val="es-AR" w:eastAsia="es-AR" w:bidi="es-AR"/>
        </w:rPr>
      </w:pPr>
      <w:r>
        <w:rPr>
          <w:shd w:val="clear" w:color="auto" w:fill="FFFFFF"/>
          <w:lang w:val="es-AR" w:eastAsia="es-AR" w:bidi="es-AR"/>
        </w:rPr>
        <w:t xml:space="preserve">En consecuencia, corresponde ordenar a AMX Argentina S.A. que, dentro del plazo de diez días de quedar firme la presente, arbitre los medios necesarios para comunicar a EQUIFAX Argentina S.A. y a toda otra base de datos de información crediticia a la que hubiera informado la deuda derivada de la línea n° 2477504340, que dicha acreencia ha sido declarada prescripta por sentencia judicial, que la prescripción liberatoria operó el día 03/03/2024 y que, encontrándose vencido el plazo reducido de dos años previsto por el art. 26 inc. 4 de la ley 25.326, corresponde suprimir el dato de tales registros. </w:t>
      </w:r>
    </w:p>
    <w:p>
      <w:pPr>
        <w:pStyle w:val="[Normal]"/>
        <w:spacing w:line="360" w:lineRule="auto"/>
        <w:ind w:firstLine="1134"/>
        <w:jc w:val="both"/>
        <w:rPr>
          <w:lang w:val="es-AR" w:eastAsia="es-AR" w:bidi="es-AR"/>
        </w:rPr>
      </w:pPr>
      <w:r>
        <w:rPr>
          <w:shd w:val="clear" w:color="auto" w:fill="FFFFFF"/>
          <w:lang w:val="es-AR" w:eastAsia="es-AR" w:bidi="es-AR"/>
        </w:rPr>
        <w:t xml:space="preserve">En virtud de lo expuesto, la parte demandada deberá acreditar en autos, dentro del mismo plazo, las comunicaciones cursadas y las gestiones realizadas para obtener la supresión ordenada. Todo ello deberá instrumentarse mediante control del Juzgado de origen, que podrá librar los oficios pertinentes a EQUIFAX Argentina S.A. y a las restantes bases de datos que correspondan, bajo apercibimiento de aplicar las medidas conminatorias que pudieren corresponder en caso de incumplimiento.”	</w:t>
        <w:br w:type="textWrapping"/>
      </w:r>
      <w:r>
        <w:rPr>
          <w:shd w:val="clear" w:color="auto" w:fill="FFFFFF"/>
          <w:lang w:val="es-AR" w:eastAsia="es-AR" w:bidi="es-AR"/>
        </w:rPr>
        <w:t xml:space="preserve"> 	</w:t>
      </w:r>
      <w:r>
        <w:rPr>
          <w:lang w:val="es-AR" w:eastAsia="es-AR" w:bidi="es-AR"/>
        </w:rPr>
        <w:t xml:space="preserve">Por las razones dadas, citas legales de referencia y con el alcance indicado,</w:t>
      </w:r>
    </w:p>
    <w:p>
      <w:pPr>
        <w:pStyle w:val="[Normal]"/>
        <w:spacing w:line="360" w:lineRule="auto"/>
        <w:jc w:val="both"/>
        <w:rPr>
          <w:lang w:val="es-AR" w:eastAsia="es-AR" w:bidi="es-AR"/>
        </w:rPr>
      </w:pPr>
      <w:r>
        <w:rPr>
          <w:b/>
          <w:lang w:val="es-AR" w:eastAsia="es-AR" w:bidi="es-AR"/>
        </w:rPr>
        <w:t xml:space="preserve"> 	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shd w:val="clear" w:color="auto" w:fill="FFFFFF"/>
          <w:lang w:val="es-AR" w:eastAsia="es-AR" w:bidi="es-AR"/>
        </w:rPr>
      </w:pPr>
      <w:r>
        <w:rPr>
          <w:lang w:val="es-AR" w:eastAsia="es-AR" w:bidi="es-AR"/>
        </w:rPr>
        <w:t xml:space="preserve">1) </w:t>
      </w:r>
      <w:r>
        <w:rPr>
          <w:shd w:val="clear" w:color="auto" w:fill="FFFFFF"/>
          <w:lang w:val="es-AR" w:eastAsia="es-AR" w:bidi="es-AR"/>
        </w:rPr>
        <w:t xml:space="preserve">Hacer lugar al recurso de apelación interpuesto por la parte actora y en consecuencia, revocar la sentencia de grado en cuanto rechazó la acción declarativa promovida por Daniel Oscar Escalante contra AMX Argentina S.A. </w:t>
      </w:r>
    </w:p>
    <w:p>
      <w:pPr>
        <w:pStyle w:val="[Normal]"/>
        <w:spacing w:line="360" w:lineRule="auto"/>
        <w:ind w:firstLine="1134"/>
        <w:jc w:val="both"/>
        <w:rPr>
          <w:shd w:val="clear" w:color="auto" w:fill="FFFFFF"/>
          <w:lang w:val="es-AR" w:eastAsia="es-AR" w:bidi="es-AR"/>
        </w:rPr>
      </w:pPr>
      <w:r>
        <w:rPr>
          <w:shd w:val="clear" w:color="auto" w:fill="FFFFFF"/>
          <w:lang w:val="es-AR" w:eastAsia="es-AR" w:bidi="es-AR"/>
        </w:rPr>
        <w:t xml:space="preserve">2) Atento a ello, declarar procedente la acción declarativa y declarar prescripta la acción de cobro correspondiente a la deuda derivada de la línea n° 2477504340, por la suma de pesos seis mil quinientos sesenta y ocho con sesenta y tres centavos ($6.568,63), cuya fecha de mora fue informada al 03/03/2022, teniéndose por operada la prescripción liberatoria el día 03/03/2024.</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3) Ordenar a AMX Argentina S.A. que dentro del plazo de diez días de quedar firme la presente, arbitre los medios necesarios para comunicar a EQUIFAX Argentina S.A. y a toda otra base de datos de información crediticia a la que hubiera informado la deuda derivada de la línea n° 2477504340, que dicha acreencia ha sido declarada prescripta por sentencia judicial, que la prescripción liberatoria operó el día 03/03/2024 y que, encontrándose vencido el plazo reducido de dos años previsto por el art. 26 inc. 4 de la ley 25.326, corresponde suprimir el dato de tales registros.</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4) Disponer que AMX Argentina S.A. deberá acreditar en autos, dentro del mismo plazo, las comunicaciones cursadas y las gestiones realizadas para obtener la supresión ordenada. Todo ello deberá instrumentarse bajo control del Juzgado de origen, que podrá librar los oficios pertinentes a EQUIFAX Argentina S.A. y a las restantes bases de datos que correspondan, bajo apercibimiento de aplicar las medidas conminatorias que pudieren corresponder en caso de incumplimiento.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5) Imponer las costas de ambas instancias a la parte demandada vencida (art. 68 del CPCC).</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6) Diferir la regulación de honorarios por las labores de Alzada para su oportunidad, una vez regulados los correspondientes a la instancia de origen y determinada la base regulatoria que corresponda.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shd w:val="clear" w:color="auto" w:fill="FFFFFF"/>
          <w:lang w:val="es-AR" w:eastAsia="es-AR" w:bidi="es-AR"/>
        </w:rPr>
      </w:pPr>
      <w:r>
        <w:rPr>
          <w:lang w:val="es-AR" w:eastAsia="es-AR" w:bidi="es-AR"/>
        </w:rPr>
        <w:t xml:space="preserve">1) </w:t>
      </w:r>
      <w:r>
        <w:rPr>
          <w:shd w:val="clear" w:color="auto" w:fill="FFFFFF"/>
          <w:lang w:val="es-AR" w:eastAsia="es-AR" w:bidi="es-AR"/>
        </w:rPr>
        <w:t xml:space="preserve">Hacer lugar al recurso de apelación interpuesto por la parte actora y, en consecuencia, revocar la sentencia de grado en cuanto rechazó la acción declarativa promovida por Daniel Oscar Escalante contra AMX Argentina S.A. </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2) Atento a ello, declarar procedente la acción declarativa y declarar prescripta la acción de cobro correspondiente a la deuda derivada de la línea n° 2477504340, por la suma de pesos seis mil quinientos sesenta y ocho con sesenta y tres centavos ($6.568,63), cuya fecha de mora fue informada al 03/03/2022, teniéndose por operada la prescripción liberatoria el día 03/03/2024.	</w:t>
        <w:br w:type="textWrapping"/>
      </w:r>
      <w:r>
        <w:rPr>
          <w:shd w:val="clear" w:color="auto" w:fill="FFFFFF"/>
          <w:lang w:val="es-AR" w:eastAsia="es-AR" w:bidi="es-AR"/>
        </w:rPr>
        <w:t xml:space="preserve">  	3) Ordenar a AMX Argentina S.A. que, dentro del plazo de diez días de quedar firme la presente, arbitre los medios necesarios para comunicar a EQUIFAX Argentina S.A. y a toda otra base de datos de información crediticia a la que hubiera informado la deuda derivada de la línea n° 2477504340, que dicha acreencia ha sido declarada prescripta por sentencia judicial, que la prescripción liberatoria operó el día 03/03/2024 y que, encontrándose vencido el plazo reducido de dos años previsto por el art. 26 inc. 4 de la ley 25.326, corresponde suprimir el dato de tales registros.</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4) Disponer que AMX Argentina S.A. deberá acreditar en autos, dentro del mismo plazo, las comunicaciones cursadas y las gestiones realizadas para obtener la supresión ordenada. Todo ello deberá instrumentarse bajo control del Juzgado de origen, que podrá librar los oficios pertinentes a EQUIFAX Argentina S.A. y a las restantes bases de datos que correspondan, bajo apercibimiento de aplicar las medidas conminatorias que pudieren corresponder en caso de incumplimiento.</w:t>
      </w:r>
    </w:p>
    <w:p>
      <w:pPr>
        <w:pStyle w:val="[Normal]"/>
        <w:spacing w:line="360" w:lineRule="auto"/>
        <w:jc w:val="both"/>
        <w:rPr>
          <w:shd w:val="clear" w:color="auto" w:fill="FFFFFF"/>
          <w:lang w:val="es-AR" w:eastAsia="es-AR" w:bidi="es-AR"/>
        </w:rPr>
      </w:pPr>
      <w:r>
        <w:rPr>
          <w:shd w:val="clear" w:color="auto" w:fill="FFFFFF"/>
          <w:lang w:val="es-AR" w:eastAsia="es-AR" w:bidi="es-AR"/>
        </w:rPr>
        <w:t xml:space="preserve"> 	5) Imponer las costas de ambas instancias a la parte demandada vencida (art. 68 del CPCC).</w:t>
      </w:r>
    </w:p>
    <w:p>
      <w:pPr>
        <w:pStyle w:val="[Normal]"/>
        <w:spacing w:line="360" w:lineRule="auto"/>
        <w:ind w:firstLine="1134"/>
        <w:jc w:val="both"/>
        <w:rPr>
          <w:lang w:val="es-AR" w:eastAsia="es-AR" w:bidi="es-AR"/>
        </w:rPr>
      </w:pPr>
      <w:r>
        <w:rPr>
          <w:shd w:val="clear" w:color="auto" w:fill="FFFFFF"/>
          <w:lang w:val="es-AR" w:eastAsia="es-AR" w:bidi="es-AR"/>
        </w:rPr>
        <w:t xml:space="preserve">6) Diferir la regulación de honorarios por las labores de Alzada para su oportunidad, una vez regulados los correspondientes a la instancia de origen y determinada la base regulatoria que corresponda.</w:t>
      </w:r>
      <w:r>
        <w:rPr>
          <w:lang w:val="es-AR" w:eastAsia="es-AR" w:bidi="es-AR"/>
        </w:rPr>
        <w:br w:type="textWrapping"/>
      </w:r>
      <w:r>
        <w:rPr>
          <w:lang w:val="es-AR" w:eastAsia="es-AR" w:bidi="es-AR"/>
        </w:rPr>
        <w:t xml:space="preserve"> 	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20261222486@NOTIFICACIONES.SCBA.GOV.AR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30663288497-DEMANDAS@ACUERDO3989.NOTIFICACIONES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20321956646@NOTIFICACIONES.SCBA.GOV.AR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10:03:13 -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10:14:20 -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11:02:41 -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‰8c")è&amp;}VG8Š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246702090006935439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markpglqyepv7">
    <w:name w:val="markpglqyepv7"/>
    <w:qFormat/>
    <w:rPr>
      <w:rFonts w:ascii="Times New Roman" w:hAnsi="Times New Roman" w:eastAsia="Times New Roman" w:cs="Times New Roman"/>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