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6060-26</w:t>
      </w:r>
      <w:r>
        <w:rPr>
          <w:lang w:val="es-AR" w:eastAsia="es-AR" w:bidi="es-AR"/>
        </w:rPr>
        <w:t xml:space="preserve"> caratulada </w:t>
      </w:r>
      <w:r>
        <w:rPr>
          <w:b/>
          <w:lang w:val="es-AR" w:eastAsia="es-AR" w:bidi="es-AR"/>
        </w:rPr>
        <w:t xml:space="preserve">"</w:t>
      </w:r>
      <w:r>
        <w:rPr>
          <w:b/>
          <w:color w:val="000000"/>
          <w:lang w:val="es-AR" w:eastAsia="es-AR" w:bidi="es-AR"/>
        </w:rPr>
        <w:t xml:space="preserve">LISA PATRICIO JOSÉ C/ FITOQUÍMICA S.A. S/ MATERIA A CATEGORIZAR</w:t>
      </w:r>
      <w:r>
        <w:rPr>
          <w:b/>
          <w:lang w:val="es-AR" w:eastAsia="es-AR" w:bidi="es-AR"/>
        </w:rPr>
        <w:t xml:space="preserve">"</w:t>
      </w:r>
      <w:r>
        <w:rPr>
          <w:lang w:val="es-AR" w:eastAsia="es-AR" w:bidi="es-AR"/>
        </w:rPr>
        <w:t xml:space="preserve">, Expte. N° 68.918</w:t>
      </w:r>
      <w:r>
        <w:rPr>
          <w:color w:val="000000"/>
          <w:lang w:val="es-AR" w:eastAsia="es-AR" w:bidi="es-AR"/>
        </w:rPr>
        <w:t xml:space="preserve"> </w:t>
      </w:r>
      <w:r>
        <w:rPr>
          <w:lang w:val="es-AR" w:eastAsia="es-AR" w:bidi="es-AR"/>
        </w:rPr>
        <w:t xml:space="preserve">del Juzgado Civil y Comercial N° 3,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Sr. Juez de primera instancia mediante la resolución apelada rechazó el incidente de nulidad promovido por Patricio José Lisa respecto de la notificación del traslado de la demanda, con costas a su cargo.</w:t>
      </w:r>
    </w:p>
    <w:p>
      <w:pPr>
        <w:pStyle w:val="[Normal]"/>
        <w:spacing w:line="360" w:lineRule="auto"/>
        <w:ind w:firstLine="1134"/>
        <w:jc w:val="both"/>
        <w:rPr>
          <w:lang w:val="es-AR" w:eastAsia="es-AR" w:bidi="es-AR"/>
        </w:rPr>
      </w:pPr>
      <w:r>
        <w:rPr>
          <w:lang w:val="es-AR" w:eastAsia="es-AR" w:bidi="es-AR"/>
        </w:rPr>
        <w:t xml:space="preserve">Para así decidir, consideró que el planteo había sido articulado fuera del plazo previsto por el art. 170 del Código Procesal, destacando que el propio incidentista reconoció haber tomado conocimiento del proceso mediante la cédula recibida el 14-10-2025 y que recién promovió la nulidad el 27-10-2025.</w:t>
      </w:r>
    </w:p>
    <w:p>
      <w:pPr>
        <w:pStyle w:val="[Normal]"/>
        <w:spacing w:line="360" w:lineRule="auto"/>
        <w:ind w:firstLine="1134"/>
        <w:jc w:val="both"/>
        <w:rPr>
          <w:lang w:val="es-AR" w:eastAsia="es-AR" w:bidi="es-AR"/>
        </w:rPr>
      </w:pPr>
      <w:r>
        <w:rPr>
          <w:lang w:val="es-AR" w:eastAsia="es-AR" w:bidi="es-AR"/>
        </w:rPr>
        <w:t xml:space="preserve">Contra dicho pronunciamiento se alza el incidentista.</w:t>
      </w:r>
    </w:p>
    <w:p>
      <w:pPr>
        <w:pStyle w:val="[Normal]"/>
        <w:spacing w:line="360" w:lineRule="auto"/>
        <w:ind w:firstLine="1134"/>
        <w:jc w:val="both"/>
        <w:rPr>
          <w:lang w:val="es-AR" w:eastAsia="es-AR" w:bidi="es-AR"/>
        </w:rPr>
      </w:pPr>
      <w:r>
        <w:rPr>
          <w:lang w:val="es-AR" w:eastAsia="es-AR" w:bidi="es-AR"/>
        </w:rPr>
        <w:t xml:space="preserve">En su memorial, el apelante sostiene que la sentencia incurre en error al computar el plazo previsto por el art. 170 del CPCC desde la recepción de la cédula que notificó la rebeldía, pues dicha notificación también sería nula al haber sido diligenciada de la misma forma que la cédula que corrió traslado de la demanda. A partir de ello, solicita que se revoque la resolución recurrida y se declare la nulidad de ambas notificaciones.</w:t>
      </w:r>
    </w:p>
    <w:p>
      <w:pPr>
        <w:pStyle w:val="[Normal]"/>
        <w:spacing w:line="360" w:lineRule="auto"/>
        <w:ind w:firstLine="1134"/>
        <w:jc w:val="both"/>
        <w:rPr>
          <w:b/>
          <w:lang w:val="es-AR" w:eastAsia="es-AR" w:bidi="es-AR"/>
        </w:rPr>
      </w:pPr>
      <w:r>
        <w:rPr>
          <w:lang w:val="es-AR" w:eastAsia="es-AR" w:bidi="es-AR"/>
        </w:rPr>
        <w:t xml:space="preserve">En su responde la contraria contesta el traslado conferido y señala que el escrito de agravios no cumple con la carga que impone el artículo 260 del código de rito, peticionando su deserción. </w:t>
      </w:r>
    </w:p>
    <w:p>
      <w:pPr>
        <w:pStyle w:val="[Normal]"/>
        <w:spacing w:line="360" w:lineRule="auto"/>
        <w:ind w:firstLine="1134"/>
        <w:jc w:val="both"/>
        <w:rPr>
          <w:lang w:val="es-AR" w:eastAsia="es-AR" w:bidi="es-AR"/>
        </w:rPr>
      </w:pPr>
      <w:r>
        <w:rPr>
          <w:lang w:val="es-AR" w:eastAsia="es-AR" w:bidi="es-AR"/>
        </w:rPr>
        <w:t xml:space="preserve">Voy a dar tratamiento al pedido expreso formulado en el escrito de responde por el apoderado de Fitoquimica S.A en cuanto impugna el memorial de agravios basándose en la inexistencia de fundamentación suficiente, conforme arts . 260 y 261 del CPCC y su doctrina.</w:t>
      </w:r>
    </w:p>
    <w:p>
      <w:pPr>
        <w:pStyle w:val="[Normal]"/>
        <w:spacing w:line="360" w:lineRule="auto"/>
        <w:ind w:firstLine="1134"/>
        <w:jc w:val="both"/>
        <w:rPr>
          <w:b/>
          <w:lang w:val="es-AR" w:eastAsia="es-AR" w:bidi="es-AR"/>
        </w:rPr>
      </w:pPr>
      <w:r>
        <w:rPr>
          <w:lang w:val="es-AR" w:eastAsia="es-AR" w:bidi="es-AR"/>
        </w:rPr>
        <w:t xml:space="preserve">Ciertamente el memorial allegado por el señor Patricio José Lisa no reúne los requisitos previstos por la normativa citada, en cuanto todo planteo revisor debe contener un análisis razonado de la materia impugnada, aportando la demostración de lo que se reputa erróneo, injusto o contrario a derecho, debiendo agotarse en la segunda instancia la carga técnica de comunicar a la Alzada cuales son los motivos concretos del agravio sin que puedan ser suficientes las meras discrepancias subjetivas con el criterio expuesto por el juzgador (conf. Morello Códigos Procesales, pág. 204 T III).</w:t>
      </w:r>
    </w:p>
    <w:p>
      <w:pPr>
        <w:pStyle w:val="[Normal]"/>
        <w:spacing w:line="360" w:lineRule="auto"/>
        <w:ind w:firstLine="1134"/>
        <w:jc w:val="both"/>
        <w:rPr>
          <w:lang w:val="es-AR" w:eastAsia="es-AR" w:bidi="es-AR"/>
        </w:rPr>
      </w:pPr>
      <w:r>
        <w:rPr>
          <w:lang w:val="es-AR" w:eastAsia="es-AR" w:bidi="es-AR"/>
        </w:rPr>
        <w:t xml:space="preserve">Se ha señalado claramente que "</w:t>
      </w:r>
      <w:r>
        <w:rPr>
          <w:i/>
          <w:lang w:val="es-AR" w:eastAsia="es-AR" w:bidi="es-AR"/>
        </w:rPr>
        <w:t xml:space="preserve">Conforme a la exigencia del art. 265 del CPC, aplicable al memorial que establece el art. 246 del mismo ordenamiento, el escrito de  expresión de agravios debe contener una crítica concreta y razonada de las partes del fallo que el apelante considere equivocadas</w:t>
      </w:r>
      <w:r>
        <w:rPr>
          <w:lang w:val="es-AR" w:eastAsia="es-AR" w:bidi="es-AR"/>
        </w:rPr>
        <w:t xml:space="preserve">" (Cam Nac. Civ. Sala C, Der. v. 29 p. 634 La Ley 1984, cfr. Morello "Códigos.." pág. 212 T III).</w:t>
      </w:r>
    </w:p>
    <w:p>
      <w:pPr>
        <w:pStyle w:val="[Normal]"/>
        <w:spacing w:line="360" w:lineRule="auto"/>
        <w:ind w:firstLine="1134"/>
        <w:jc w:val="both"/>
        <w:rPr>
          <w:lang w:val="es-AR" w:eastAsia="es-AR" w:bidi="es-AR"/>
        </w:rPr>
      </w:pPr>
      <w:r>
        <w:rPr>
          <w:lang w:val="es-AR" w:eastAsia="es-AR" w:bidi="es-AR"/>
        </w:rPr>
        <w:t xml:space="preserve">Al respecto ha dicho la SCBA que ".</w:t>
      </w:r>
      <w:r>
        <w:rPr>
          <w:i/>
          <w:lang w:val="es-AR" w:eastAsia="es-AR" w:bidi="es-AR"/>
        </w:rPr>
        <w:t xml:space="preserve">.. el desarrollo de los agravios a la luz del art. 260 del Código Procesal Civil y Comercial supone, como carga procesal, una exposición jurídica en la que mediante el análisis razonado y crítico del fallo impugnado se evidencie su injusticia. Requiere así una articulación seria, fundada, concreta y objetiva de los errores de la sentencia, punto por punto, y una demostración de los motivos para considerar que ella es errónea, injusta o contraria a derecho (conf. Ac. 49.561, sent. del 31-V-1994 en "Acuerdos y Sentencias", 1994-II-383; Ac. 53.320, sent. del 19-XII-1995 en "Acuerdos y Sentencias", 1995-IV-674; conf. doct. C. 91.877, sent. del 13-XII-2006)".</w:t>
      </w:r>
      <w:r>
        <w:rPr>
          <w:lang w:val="es-AR" w:eastAsia="es-AR" w:bidi="es-AR"/>
        </w:rPr>
        <w:t xml:space="preserve">..(causa C 1128-13 S 16/07/2014).</w:t>
      </w:r>
    </w:p>
    <w:p>
      <w:pPr>
        <w:pStyle w:val="[Normal]"/>
        <w:spacing w:line="360" w:lineRule="auto"/>
        <w:ind w:firstLine="1134"/>
        <w:jc w:val="both"/>
        <w:rPr>
          <w:lang w:val="es-AR" w:eastAsia="es-AR" w:bidi="es-AR"/>
        </w:rPr>
      </w:pPr>
      <w:r>
        <w:rPr>
          <w:lang w:val="es-AR" w:eastAsia="es-AR" w:bidi="es-AR"/>
        </w:rPr>
        <w:t xml:space="preserve">Examinada la pieza recursiva a la luz de tales pautas, se advierte que la misma no satisface la carga procesal impuesta por el art. 260 del CPCC.</w:t>
      </w:r>
    </w:p>
    <w:p>
      <w:pPr>
        <w:pStyle w:val="[Normal]"/>
        <w:spacing w:line="360" w:lineRule="auto"/>
        <w:ind w:firstLine="1134"/>
        <w:jc w:val="both"/>
        <w:rPr>
          <w:lang w:val="es-AR" w:eastAsia="es-AR" w:bidi="es-AR"/>
        </w:rPr>
      </w:pPr>
      <w:r>
        <w:rPr>
          <w:lang w:val="es-AR" w:eastAsia="es-AR" w:bidi="es-AR"/>
        </w:rPr>
        <w:t xml:space="preserve">En efecto, el memorial se limita a reiterar los cuestionamientos que el recurrente ya había formulado al promover el incidente de nulidad, insistiendo en la invalidez de las notificaciones practicadas. Sin embargo, no contiene una crítica concreta y razonada dirigida a rebatir los fundamentos desarrollados en la resolución apelada, ni desarrolla argumentos aptos para demostrar los errores que atribuye al pronunciamiento.</w:t>
      </w:r>
    </w:p>
    <w:p>
      <w:pPr>
        <w:pStyle w:val="[Normal]"/>
        <w:spacing w:line="360" w:lineRule="auto"/>
        <w:ind w:firstLine="1134"/>
        <w:jc w:val="both"/>
        <w:rPr>
          <w:lang w:val="es-AR" w:eastAsia="es-AR" w:bidi="es-AR"/>
        </w:rPr>
      </w:pPr>
      <w:r>
        <w:rPr>
          <w:lang w:val="es-AR" w:eastAsia="es-AR" w:bidi="es-AR"/>
        </w:rPr>
        <w:t xml:space="preserve">De tal modo, el escrito bajo examen no supera el plano de la mera discrepancia subjetiva con la solución adoptada, sin alcanzar el estándar mínimo de fundamentación exigido para habilitar la revisión de la sentencia por esta Alzada.</w:t>
      </w:r>
    </w:p>
    <w:p>
      <w:pPr>
        <w:pStyle w:val="[Normal]"/>
        <w:spacing w:line="360" w:lineRule="auto"/>
        <w:ind w:firstLine="1134"/>
        <w:jc w:val="both"/>
        <w:rPr>
          <w:lang w:val="es-AR" w:eastAsia="es-AR" w:bidi="es-AR"/>
        </w:rPr>
      </w:pPr>
      <w:r>
        <w:rPr>
          <w:lang w:val="es-AR" w:eastAsia="es-AR" w:bidi="es-AR"/>
        </w:rPr>
        <w:t xml:space="preserve">Concluyo entonces que la pieza mediante la cual se intentó fundar la apelación no reúne los recaudos técnicos exigidos por los arts. 260 y 261 del CPCC, correspondiendo declarar desierto el recurso interpuesto.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w:t>
      </w:r>
      <w:r>
        <w:rPr>
          <w:color w:val="0000FF"/>
          <w:lang w:val="es-AR" w:eastAsia="es-AR" w:bidi="es-AR"/>
        </w:rPr>
        <w:t xml:space="preserve"> </w:t>
      </w:r>
      <w:r>
        <w:rPr>
          <w:lang w:val="es-AR" w:eastAsia="es-AR" w:bidi="es-AR"/>
        </w:rPr>
        <w:t xml:space="preserve">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Declarar desierto el recurso de apelación interpuesto por el incidentista contra la resolución de fecha 1-4-2026 (arts. 260 y 261 del CPCC).</w:t>
      </w:r>
    </w:p>
    <w:p>
      <w:pPr>
        <w:pStyle w:val="[Normal]"/>
        <w:spacing w:line="360" w:lineRule="auto"/>
        <w:ind w:firstLine="1134"/>
        <w:jc w:val="both"/>
        <w:rPr>
          <w:lang w:val="es-AR" w:eastAsia="es-AR" w:bidi="es-AR"/>
        </w:rPr>
      </w:pPr>
      <w:r>
        <w:rPr>
          <w:lang w:val="es-AR" w:eastAsia="es-AR" w:bidi="es-AR"/>
        </w:rPr>
        <w:t xml:space="preserve">Imponer las costas de Alzada al apelante vencido (art. 68 del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(arts. 31 y 51 de la ley 14.967).</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Declarar desierto el recurso de apelación interpuesto por el incidentista contra la resolución de fecha 1-4-2026 (arts. 260 y 261 del CPCC).</w:t>
      </w:r>
    </w:p>
    <w:p>
      <w:pPr>
        <w:pStyle w:val="[Normal]"/>
        <w:spacing w:line="360" w:lineRule="auto"/>
        <w:ind w:firstLine="1134"/>
        <w:jc w:val="both"/>
        <w:rPr>
          <w:lang w:val="es-AR" w:eastAsia="es-AR" w:bidi="es-AR"/>
        </w:rPr>
      </w:pPr>
      <w:r>
        <w:rPr>
          <w:lang w:val="es-AR" w:eastAsia="es-AR" w:bidi="es-AR"/>
        </w:rPr>
        <w:t xml:space="preserve">Imponer las costas de Alzada al apelante vencido (art. 68 del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(arts. 31 y 51 de la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10:13:46 -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10:28:32 -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11:42:33 -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‰89")è&amp;}VD0Š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242502090006935436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11/06/2026 11:43:27 hs. bajo el número RS-100-2026 por PE\NMARTINEZ NICOLAS.</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