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6022-26</w:t>
      </w:r>
      <w:r>
        <w:rPr>
          <w:lang w:val="es-AR" w:eastAsia="es-AR" w:bidi="es-AR"/>
        </w:rPr>
        <w:t xml:space="preserve"> caratulada </w:t>
      </w:r>
      <w:r>
        <w:rPr>
          <w:b/>
          <w:lang w:val="es-AR" w:eastAsia="es-AR" w:bidi="es-AR"/>
        </w:rPr>
        <w:t xml:space="preserve">"</w:t>
      </w:r>
      <w:r>
        <w:rPr>
          <w:b/>
          <w:color w:val="000000"/>
          <w:lang w:val="es-AR" w:eastAsia="es-AR" w:bidi="es-AR"/>
        </w:rPr>
        <w:t xml:space="preserve">CICCONI FABIAN ALBERTO C/ GARRO JOSE LUIS S/ COBRO EJECUTIVO</w:t>
      </w:r>
      <w:r>
        <w:rPr>
          <w:b/>
          <w:lang w:val="es-AR" w:eastAsia="es-AR" w:bidi="es-AR"/>
        </w:rPr>
        <w:t xml:space="preserve">"</w:t>
      </w:r>
      <w:r>
        <w:rPr>
          <w:lang w:val="es-AR" w:eastAsia="es-AR" w:bidi="es-AR"/>
        </w:rPr>
        <w:t xml:space="preserve">, Expte. N° 78.130</w:t>
      </w:r>
      <w:r>
        <w:rPr>
          <w:color w:val="000000"/>
          <w:lang w:val="es-AR" w:eastAsia="es-AR" w:bidi="es-AR"/>
        </w:rPr>
        <w:t xml:space="preserve"> </w:t>
      </w:r>
      <w:r>
        <w:rPr>
          <w:lang w:val="es-AR" w:eastAsia="es-AR" w:bidi="es-AR"/>
        </w:rPr>
        <w:t xml:space="preserve">del Juzgado Civil y Comercial N° 1</w:t>
      </w:r>
      <w:r>
        <w:rPr>
          <w:color w:val="0000FF"/>
          <w:lang w:val="es-AR" w:eastAsia="es-AR" w:bidi="es-AR"/>
        </w:rPr>
        <w:t xml:space="preserve">,</w:t>
      </w:r>
      <w:r>
        <w:rPr>
          <w:lang w:val="es-AR" w:eastAsia="es-AR" w:bidi="es-AR"/>
        </w:rPr>
        <w:t xml:space="preserve"> se practicó el sorteo de ley que determinó que la votación debía efectuarse en el siguiente orden: Roberto Degleue y Graciela Scaraffia,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Degleue dijo:</w:t>
      </w:r>
    </w:p>
    <w:p>
      <w:pPr>
        <w:pStyle w:val="[Normal]"/>
        <w:spacing w:line="360" w:lineRule="auto"/>
        <w:ind w:firstLine="1134"/>
        <w:jc w:val="both"/>
        <w:rPr>
          <w:lang w:val="es-AR" w:eastAsia="es-AR" w:bidi="es-AR"/>
        </w:rPr>
      </w:pPr>
      <w:r>
        <w:rPr>
          <w:lang w:val="es-AR" w:eastAsia="es-AR" w:bidi="es-AR"/>
        </w:rPr>
        <w:t xml:space="preserve">El Sr. Juez de la anterior instancia rechazó las excepciones planteadas y mandó a llevar adelante la ejecución hasta tanto el ejecutado José Luis Garro haga al acreedor Fabián Alberto Cicconi íntegro pago del capital  reclamado: $1.853.184,00 con más sus intereses. Aplicó las costas a la parte ejecutada y difirió la regulación de los honorarios.</w:t>
      </w:r>
    </w:p>
    <w:p>
      <w:pPr>
        <w:pStyle w:val="[Normal]"/>
        <w:spacing w:line="360" w:lineRule="auto"/>
        <w:ind w:firstLine="1134"/>
        <w:jc w:val="both"/>
        <w:rPr>
          <w:lang w:val="es-AR" w:eastAsia="es-AR" w:bidi="es-AR"/>
        </w:rPr>
      </w:pPr>
      <w:r>
        <w:rPr>
          <w:lang w:val="es-AR" w:eastAsia="es-AR" w:bidi="es-AR"/>
        </w:rPr>
        <w:t xml:space="preserve">En disconformidad con lo resuelto apela el 20/02/2026 la parte demandada, recurso concedido el 24/02/2026 en relación, fundado el 9/03/2026, habiendo la contraria contestado el traslado conferido el 17/03/2026.</w:t>
      </w:r>
    </w:p>
    <w:p>
      <w:pPr>
        <w:pStyle w:val="[Normal]"/>
        <w:spacing w:line="360" w:lineRule="auto"/>
        <w:ind w:firstLine="1134"/>
        <w:jc w:val="both"/>
        <w:rPr>
          <w:lang w:val="es-AR" w:eastAsia="es-AR" w:bidi="es-AR"/>
        </w:rPr>
      </w:pPr>
      <w:r>
        <w:rPr>
          <w:lang w:val="es-AR" w:eastAsia="es-AR" w:bidi="es-AR"/>
        </w:rPr>
        <w:t xml:space="preserve">Ingresados los autos a este organismo el 18/03/2026, se dicta el llamamiento de autos para sentencia el 26/03/2026, providencia que firme deja la causa en condiciones de ser fallada.</w:t>
      </w:r>
    </w:p>
    <w:p>
      <w:pPr>
        <w:pStyle w:val="[Normal]"/>
        <w:spacing w:line="360" w:lineRule="auto"/>
        <w:ind w:firstLine="1134"/>
        <w:jc w:val="both"/>
        <w:rPr>
          <w:lang w:val="es-AR" w:eastAsia="es-AR" w:bidi="es-AR"/>
        </w:rPr>
      </w:pPr>
      <w:r>
        <w:rPr>
          <w:lang w:val="es-AR" w:eastAsia="es-AR" w:bidi="es-AR"/>
        </w:rPr>
        <w:t xml:space="preserve">El primer agravio que refiere el recurrente es la temporaneidad en la que el Juez evaluó y resolvió aplicar la ley de defensa del consumidor a la obligación ventilada en autos, cuyo resultado y efecto son contrarios a los derechos del accionado, solicitando la declaración de nulidad del proceso.</w:t>
      </w:r>
    </w:p>
    <w:p>
      <w:pPr>
        <w:pStyle w:val="[Normal]"/>
        <w:spacing w:line="360" w:lineRule="auto"/>
        <w:ind w:firstLine="1134"/>
        <w:jc w:val="both"/>
        <w:rPr>
          <w:lang w:val="es-AR" w:eastAsia="es-AR" w:bidi="es-AR"/>
        </w:rPr>
      </w:pPr>
      <w:r>
        <w:rPr>
          <w:lang w:val="es-AR" w:eastAsia="es-AR" w:bidi="es-AR"/>
        </w:rPr>
        <w:t xml:space="preserve">Refiere que el ejecutante en el inicio de la demanda basa su reclamo en tres pagarés como títulos ejecutivos, sin mencionar la existencia de documentación comercial en respaldo de los mismos, violando así lo dispuesto en el art. 36 de la Ley 24.240, es decir por sí mismos no abastecen la normativa específica, deviniendo inhábiles a los fines de pretender el cobro de dinero procedente de una relación de consumo.</w:t>
      </w:r>
    </w:p>
    <w:p>
      <w:pPr>
        <w:pStyle w:val="[Normal]"/>
        <w:spacing w:line="360" w:lineRule="auto"/>
        <w:ind w:firstLine="1134"/>
        <w:jc w:val="both"/>
        <w:rPr>
          <w:lang w:val="es-AR" w:eastAsia="es-AR" w:bidi="es-AR"/>
        </w:rPr>
      </w:pPr>
      <w:r>
        <w:rPr>
          <w:lang w:val="es-AR" w:eastAsia="es-AR" w:bidi="es-AR"/>
        </w:rPr>
        <w:t xml:space="preserve">En segundo término, no habilita la intervención del Ministerio Publico Fiscal, con las consecuencias de nulidad que acarrea dicho proceder (art. 52 LDC), obligando al ejecutado a contestar la demanda dentro del limitado marco de las excepciones admitidas dentro del juicio ejecutivo, sin producción de pruebas de sus derechos alegados, cuestión que le brinda holgura procedimental al ejecutante, quien no solo puede iniciar la demanda con severas violaciones a la normativa consumeril, sino además se le permitió corregir dichas falencias hasta el dictado de la sentencia. Consigna abundante doctrina y jurisprudencia en apoyo de la nulidad articulara y solicita se haga lugar a su planteo. Caso contrario, se revoque el rechazo de la inhabilidad del título en ejecución, atento la clara violación al art. 36 LDC, siendo que su pretendida integración se realizó una vez precluida para ello la instancia procesal, violando las garantías constitucionales del debido proceso y defensa en juicio, con costas a cargo del accionante.</w:t>
      </w:r>
    </w:p>
    <w:p>
      <w:pPr>
        <w:pStyle w:val="[Normal]"/>
        <w:spacing w:line="360" w:lineRule="auto"/>
        <w:ind w:firstLine="1134"/>
        <w:jc w:val="both"/>
        <w:rPr>
          <w:lang w:val="es-AR" w:eastAsia="es-AR" w:bidi="es-AR"/>
        </w:rPr>
      </w:pPr>
      <w:r>
        <w:rPr>
          <w:lang w:val="es-AR" w:eastAsia="es-AR" w:bidi="es-AR"/>
        </w:rPr>
        <w:t xml:space="preserve">A su turno, la apoderada de la parte actora en su conteste sostiene que los puntos de agravio vertidos por la recurrente no constituyen una crítica concreta y razonada del fallo conforme exige el art. 265 del CPCC., limitándose a reiterar argumentos ya expuestos al oponer excepciones, acompañando extensas citas doctrinarias y jurisprudenciales ajenas a la jurisdicción de la Provincia de Buenos Aires, sin demostrar error alguno en el razonamiento del a quo.</w:t>
      </w:r>
    </w:p>
    <w:p>
      <w:pPr>
        <w:pStyle w:val="[Normal]"/>
        <w:spacing w:line="360" w:lineRule="auto"/>
        <w:ind w:firstLine="1134"/>
        <w:jc w:val="both"/>
        <w:rPr>
          <w:lang w:val="es-AR" w:eastAsia="es-AR" w:bidi="es-AR"/>
        </w:rPr>
      </w:pPr>
      <w:r>
        <w:rPr>
          <w:lang w:val="es-AR" w:eastAsia="es-AR" w:bidi="es-AR"/>
        </w:rPr>
        <w:t xml:space="preserve">Solicita el rechazo íntegro de la pieza recursiva y la confirmación de la sentencia apelada.-</w:t>
      </w:r>
    </w:p>
    <w:p>
      <w:pPr>
        <w:pStyle w:val="[Normal]"/>
        <w:spacing w:line="360" w:lineRule="auto"/>
        <w:ind w:firstLine="1134"/>
        <w:jc w:val="both"/>
        <w:rPr>
          <w:lang w:val="es-AR" w:eastAsia="es-AR" w:bidi="es-AR"/>
        </w:rPr>
      </w:pPr>
      <w:r>
        <w:rPr>
          <w:color w:val="000000"/>
          <w:lang w:val="es-AR" w:eastAsia="es-AR" w:bidi="es-AR"/>
        </w:rPr>
        <w:t xml:space="preserve">I.- Liminarmente, en relación a la cuestión introducida expresamente por la parte ejecutante en su responde relativa al incumplimiento de los recaudos establecidos por el art. 260 del CPCC</w:t>
      </w:r>
      <w:r>
        <w:rPr>
          <w:lang w:val="es-AR" w:eastAsia="es-AR" w:bidi="es-AR"/>
        </w:rPr>
        <w:t xml:space="preserve">, cabe señalar que de la lectura del memorial arrimado por la ejecutada se advierte una crítica concreta y razonada del fallo apelado que logra superar mínimamente  las exigencias técnicas previstas por el ritual en la materia, por lo que abastece el tratamiento del remedio recursivo.</w:t>
      </w:r>
    </w:p>
    <w:p>
      <w:pPr>
        <w:pStyle w:val="[Normal]"/>
        <w:spacing w:line="360" w:lineRule="auto"/>
        <w:ind w:firstLine="1134"/>
        <w:jc w:val="both"/>
        <w:rPr>
          <w:lang w:val="es-AR" w:eastAsia="es-AR" w:bidi="es-AR"/>
        </w:rPr>
      </w:pPr>
      <w:r>
        <w:rPr>
          <w:lang w:val="es-AR" w:eastAsia="es-AR" w:bidi="es-AR"/>
        </w:rPr>
        <w:t xml:space="preserve">II.- Sentado ello, y resumiendo los puntos de agravios planteados por el recurrente, he de resumir en tres francos de ataque: 1) la resolución del juez aplicando ley de consumo al momento de sentenciar, 2) la falta de integración del título al inicio de la acción, en clara violación a lo dispuesto por el art. 36 de la Ley 24.240, lo que hace procedente la excepción de inhabilidad de título articulada y 3) la falta de intervención del Agente Fiscal que conllevaría una nulidad del proceso.</w:t>
      </w:r>
    </w:p>
    <w:p>
      <w:pPr>
        <w:pStyle w:val="[Normal]"/>
        <w:spacing w:line="360" w:lineRule="auto"/>
        <w:ind w:firstLine="1134"/>
        <w:jc w:val="both"/>
        <w:rPr>
          <w:lang w:val="es-AR" w:eastAsia="es-AR" w:bidi="es-AR"/>
        </w:rPr>
      </w:pPr>
      <w:r>
        <w:rPr>
          <w:lang w:val="es-AR" w:eastAsia="es-AR" w:bidi="es-AR"/>
        </w:rPr>
        <w:t xml:space="preserve">En primer lugar he de decir que no se encuentra controvertida en esta instancia la conclusión alcanzada por el magistrado de grado en cuanto consideró que los pagarés ejecutados fueron librados en el marco de una operación de crédito para consumo. La propia crítica recursiva se apoya en el momento en que el juez decide resolver aplicando la ley del consumidor, cuestionamiento que no ha de prosperar.</w:t>
      </w:r>
    </w:p>
    <w:p>
      <w:pPr>
        <w:pStyle w:val="[Normal]"/>
        <w:spacing w:line="360" w:lineRule="auto"/>
        <w:ind w:firstLine="1134"/>
        <w:jc w:val="both"/>
        <w:rPr>
          <w:lang w:val="es-AR" w:eastAsia="es-AR" w:bidi="es-AR"/>
        </w:rPr>
      </w:pPr>
      <w:r>
        <w:rPr>
          <w:lang w:val="es-AR" w:eastAsia="es-AR" w:bidi="es-AR"/>
        </w:rPr>
        <w:t xml:space="preserve">Corresponde recordar "El juez puede evaluar los requisitos para la procedencia del juicio ejecutivo en tres oportunidades: En primer término al inicio de la demanda, en segundo término en el caso de que el demandado oponga las defensas permitidas por la ley, y en tercer lugar, en el momento de dictar la correspondiente sentencia de trance y remate" (CC0002 LM 208 RSI-34-2 I 23/04/2002 Juez RODRIGUEZ (SD) JUBA B3400231).-</w:t>
      </w:r>
    </w:p>
    <w:p>
      <w:pPr>
        <w:pStyle w:val="[Normal]"/>
        <w:spacing w:line="360" w:lineRule="auto"/>
        <w:ind w:firstLine="1134"/>
        <w:jc w:val="both"/>
        <w:rPr>
          <w:lang w:val="es-AR" w:eastAsia="es-AR" w:bidi="es-AR"/>
        </w:rPr>
      </w:pPr>
      <w:r>
        <w:rPr>
          <w:lang w:val="es-AR" w:eastAsia="es-AR" w:bidi="es-AR"/>
        </w:rPr>
        <w:t xml:space="preserve">Y, que el control judicial de los recaudos previstos en el art. 36 de la Ley 24.240 constituye una carga impuesta al órgano jurisdiccional por tratarse de normas de orden público destinadas a la tutela del consumidor (arts. 42 Const. Nac.; 38 Const. Prov.; 65 Ley 24.240). Ahora bien, de las constancias de autos surge que dicho control fue efectivamente realizado.</w:t>
      </w:r>
    </w:p>
    <w:p>
      <w:pPr>
        <w:pStyle w:val="[Normal]"/>
        <w:spacing w:line="360" w:lineRule="auto"/>
        <w:ind w:firstLine="1134"/>
        <w:jc w:val="both"/>
        <w:rPr>
          <w:lang w:val="es-AR" w:eastAsia="es-AR" w:bidi="es-AR"/>
        </w:rPr>
      </w:pPr>
      <w:r>
        <w:rPr>
          <w:lang w:val="es-AR" w:eastAsia="es-AR" w:bidi="es-AR"/>
        </w:rPr>
        <w:t xml:space="preserve">En efecto, a partir de la incorporación de los contratos de mutuo vinculados a los pagarés ejecutados, el magistrado examinó la naturaleza de la operatoria, verificó la existencia de una relación de consumo y concluyó que la documentación causal cumplía con los recaudos informativos exigidos por el art. 36 de la Ley 24.240, nada de esto fue objeto de ataque, sino que el recurrente fundó su descontento en el momento en que se incorporaron los mutuos correspondientes a cada pagare, sobre lo cual funda su segundo agravio</w:t>
      </w:r>
    </w:p>
    <w:p>
      <w:pPr>
        <w:pStyle w:val="[Normal]"/>
        <w:spacing w:line="360" w:lineRule="auto"/>
        <w:ind w:firstLine="1134"/>
        <w:jc w:val="both"/>
        <w:rPr>
          <w:lang w:val="es-AR" w:eastAsia="es-AR" w:bidi="es-AR"/>
        </w:rPr>
      </w:pPr>
      <w:r>
        <w:rPr>
          <w:lang w:val="es-AR" w:eastAsia="es-AR" w:bidi="es-AR"/>
        </w:rPr>
        <w:t xml:space="preserve">La presente acción ejecutiva fue iniciada en base a tres pagares, al presentarse el demandado, es este quien invoca el derecho del consumidor a fin de fundar la excepción planteada en su defensa, y el ejecutante al contestar dicha defensa, acompaña los instrumentos a fin de integrar los títulos. </w:t>
      </w:r>
    </w:p>
    <w:p>
      <w:pPr>
        <w:pStyle w:val="[Normal]"/>
        <w:spacing w:line="360" w:lineRule="auto"/>
        <w:ind w:firstLine="1134"/>
        <w:jc w:val="both"/>
        <w:rPr>
          <w:lang w:val="es-AR" w:eastAsia="es-AR" w:bidi="es-AR"/>
        </w:rPr>
      </w:pPr>
      <w:r>
        <w:rPr>
          <w:lang w:val="es-AR" w:eastAsia="es-AR" w:bidi="es-AR"/>
        </w:rPr>
        <w:t xml:space="preserve">Por consiguiente, no se advierte que la oportunidad en que dicho examen fue efectuado haya ocasionado un perjuicio concreto susceptible de justificar la declaración de nulidad pretendida por el recurrente, máxime cuando el ejecutado pudo oponer excepciones, ofrecer prueba, impugnar la pericia producida (P.E. 17/9/2025) y ejercer plenamente su derecho de defensa durante el trámite.</w:t>
      </w:r>
    </w:p>
    <w:p>
      <w:pPr>
        <w:pStyle w:val="[Normal]"/>
        <w:spacing w:line="360" w:lineRule="auto"/>
        <w:ind w:firstLine="1134"/>
        <w:jc w:val="both"/>
        <w:rPr>
          <w:lang w:val="es-AR" w:eastAsia="es-AR" w:bidi="es-AR"/>
        </w:rPr>
      </w:pPr>
      <w:r>
        <w:rPr>
          <w:lang w:val="es-AR" w:eastAsia="es-AR" w:bidi="es-AR"/>
        </w:rPr>
        <w:t xml:space="preserve">Ello me lleva a rechazar el punto central del agravio, en cuanto que el juez para resolver aplicó la ley de consumo, en perjuicio del demandado, pues es este último quien al plantear excepciones a la acción ejecutiva, requirió la aplicación de dicho marco normativo. Sostener lo contrario atentaría contra el principio de los actos propios, que versa en que "Nadie puede ponerse en contradicción con sus propios actos, ejerciendo una conducta incompatible con una anterior deliberada, jurídicamente relevante y plenamente eficaz" (v. SCBA, "Carpinetti, Raúl Jorge c/Fisco de la Prov. de Buenos Aires s/Daños y perjuicios", 17/06/1993). </w:t>
      </w:r>
    </w:p>
    <w:p>
      <w:pPr>
        <w:pStyle w:val="[Normal]"/>
        <w:spacing w:line="360" w:lineRule="auto"/>
        <w:ind w:firstLine="1134"/>
        <w:jc w:val="both"/>
        <w:rPr>
          <w:lang w:val="es-AR" w:eastAsia="es-AR" w:bidi="es-AR"/>
        </w:rPr>
      </w:pPr>
      <w:r>
        <w:rPr>
          <w:lang w:val="es-AR" w:eastAsia="es-AR" w:bidi="es-AR"/>
        </w:rPr>
        <w:t xml:space="preserve">El recurrente pretende mediante el remedio interpuesto nulificar el proceso, y se ha dicho en doctrina que: "...El ataque de nulidad previsto por el art. 253 del CPCC (comprendido en el de apelación), se refiere exclusivamente a aquellos supuestos en los cuales la decisión final del juez de grado no ha cumplido con alguno de los requisitos formales extrínsecos (forma, tiempo y lugar) establecidos en el art. 163 del CPCC (por ejemplo, cuando el fallo carece de fundamentos, no indica el lugar ni la fecha del pronunciamiento, etc.; (conf. CC0202 La Plata C 120.321 sentencia del 30/05/202). “Los errores ‘de juicio’ entendidos como aquellos que refieren a equivocaciones de hecho en la apreciación de la prueba o de derecho en la aplicación o interpretación de la ley, escapan de la órbita del recurso de nulidad. El recurso de nulidad tiene así por objeto remediar errores o vicios en la manera de proceder y no ‘de juicio’. Es decir, errores en las formas de confección de las sentencias que deben observarse para obtener un acto procesal válido” (CC0202 La Plata C131.113 sentencia del 22/03/2022). (Cfr.  Hankovits, Francisco Agustín, "Recurso de apelación: análisis desde la ortodoxia teórica a la heterodoxia práctica",  1a ed. revisada. - La Plata: Librería Editora Platense, 2026).</w:t>
      </w:r>
    </w:p>
    <w:p>
      <w:pPr>
        <w:pStyle w:val="[Normal]"/>
        <w:spacing w:line="360" w:lineRule="auto"/>
        <w:ind w:firstLine="1134"/>
        <w:jc w:val="both"/>
        <w:rPr>
          <w:lang w:val="es-AR" w:eastAsia="es-AR" w:bidi="es-AR"/>
        </w:rPr>
      </w:pPr>
      <w:r>
        <w:rPr>
          <w:lang w:val="es-AR" w:eastAsia="es-AR" w:bidi="es-AR"/>
        </w:rPr>
        <w:t xml:space="preserve">Así también se dijo que “La nulidad no puede basarse en una discrepancia personal de quien recurre sobre el modo en que el sentenciante hubo argumentado al fundar su resolución. Tales planteos hacen al acierto o justicia del pronunciamiento, no a su validez” (CC0202 La Plata C 128.260 sentencia del 25/02/2021).</w:t>
      </w:r>
    </w:p>
    <w:p>
      <w:pPr>
        <w:pStyle w:val="[Normal]"/>
        <w:spacing w:line="360" w:lineRule="auto"/>
        <w:ind w:firstLine="1134"/>
        <w:jc w:val="both"/>
        <w:rPr>
          <w:lang w:val="es-AR" w:eastAsia="es-AR" w:bidi="es-AR"/>
        </w:rPr>
      </w:pPr>
      <w:r>
        <w:rPr>
          <w:lang w:val="es-AR" w:eastAsia="es-AR" w:bidi="es-AR"/>
        </w:rPr>
        <w:t xml:space="preserve">Analizada la sentencia bajo estos parámetros, y habiendo el ejecutado invocado el derecho del consumidor en su defensa y el juez aplicado esa normativa para analizar el título base de la ejecución, me llevan a confirmar el fallo pues no existe arbitrariedad ni contradicción que amerite hacer lugar a la nulidad pretendida (arts. 529, 540, 542, 549 y concs. del C.P.C.C.).</w:t>
      </w:r>
    </w:p>
    <w:p>
      <w:pPr>
        <w:pStyle w:val="[Normal]"/>
        <w:spacing w:line="360" w:lineRule="auto"/>
        <w:ind w:firstLine="1134"/>
        <w:jc w:val="both"/>
        <w:rPr>
          <w:lang w:val="es-AR" w:eastAsia="es-AR" w:bidi="es-AR"/>
        </w:rPr>
      </w:pPr>
      <w:r>
        <w:rPr>
          <w:lang w:val="es-AR" w:eastAsia="es-AR" w:bidi="es-AR"/>
        </w:rPr>
        <w:t xml:space="preserve">III.- Otro punto de agravio es el cuestionamiento que realiza el ejecutante respecto al momento en que se integra el título base de la ejecución. Sobre este punto, ya hemos resuelto en diferentes causas análogas al presente, que se podrá integrar el título hasta el momento de dictar sentencia (Entre otras: CAP N° 3646/19, 3805/19, 3672/19, etc.).</w:t>
      </w:r>
    </w:p>
    <w:p>
      <w:pPr>
        <w:pStyle w:val="[Normal]"/>
        <w:spacing w:line="360" w:lineRule="auto"/>
        <w:ind w:firstLine="1134"/>
        <w:jc w:val="both"/>
        <w:rPr>
          <w:lang w:val="es-AR" w:eastAsia="es-AR" w:bidi="es-AR"/>
        </w:rPr>
      </w:pPr>
      <w:r>
        <w:rPr>
          <w:lang w:val="es-AR" w:eastAsia="es-AR" w:bidi="es-AR"/>
        </w:rPr>
        <w:t xml:space="preserve">Allí aplicando el acuerdo plenario de Azul de fecha 9/3/17, resolvimos que previo a rechazar por inhabilidad el pagaré de consumo, se debía dar la posibilidad al ejecutante que integre el título con la documentación adicional. </w:t>
      </w:r>
    </w:p>
    <w:p>
      <w:pPr>
        <w:pStyle w:val="[Normal]"/>
        <w:spacing w:line="360" w:lineRule="auto"/>
        <w:ind w:firstLine="1134"/>
        <w:jc w:val="both"/>
        <w:rPr>
          <w:lang w:val="es-AR" w:eastAsia="es-AR" w:bidi="es-AR"/>
        </w:rPr>
      </w:pPr>
      <w:r>
        <w:rPr>
          <w:lang w:val="es-AR" w:eastAsia="es-AR" w:bidi="es-AR"/>
        </w:rPr>
        <w:t xml:space="preserve">La Cámara de Apelación de Azul por mayoría dijo: “El pagaré de consumo puede integrarse con documentación adicional relativa al negocio causal, dentro del mismo juicio ejecutivo, conformando un título complejo que deberá contener información clara y veraz y además cumplir con los requisitos previstos en el art. 36 de la LDC para las operaciones de financiación o crédito para el consumo...En lo que respecta a su oportunidad procesal, la integración de la cartular debe realizarse respetando el derecho de defensa del consumidor, la bilateralidad del proceso y el principio de congruencia (arts. 15 de la Const. provincial; 34 inc. 5, 163 inc. 6, 529, 542 ss. y cdtes. del Código Procesal). Por ello, la documental adicional debe acompañarse en Primera Instancia teniendo como límite el dictado de la sentencia definitiva, oportunidad en que el Juez debe analizar la habilidad del título, sin que se admita su integración en la alzada.".</w:t>
      </w:r>
    </w:p>
    <w:p>
      <w:pPr>
        <w:pStyle w:val="[Normal]"/>
        <w:spacing w:line="360" w:lineRule="auto"/>
        <w:ind w:firstLine="1134"/>
        <w:jc w:val="both"/>
        <w:rPr>
          <w:lang w:val="es-AR" w:eastAsia="es-AR" w:bidi="es-AR"/>
        </w:rPr>
      </w:pPr>
      <w:r>
        <w:rPr>
          <w:lang w:val="es-AR" w:eastAsia="es-AR" w:bidi="es-AR"/>
        </w:rPr>
        <w:t xml:space="preserve">Y es lo que emerge asimismo de lo expuesto por la Cámara Segunda de Apelación de la Plata, Sala 1, causa N°120271 RSD 221/16: “El pagaré de consumo debe integrarse con la información requerida por el art. 36 ya que ello hace a la habilidad del título. La aptitud ejecutiva del título con el cual se deduce la ejecución debe ser analizada por el juez como director del proceso al despachar la ejecución (primer despacho, lo cual hace a la eficacia de su labor), sin perjuicio de que lo puede hacer hasta el dictado de sentencia, lo cual impone permitir que el ejecutante integre el título con la documentación respectiva, ello en virtud de la falta de regulación legislativa expresa y en aras del principio de seguridad jurídica (art. 42 C.N., 38 Const. Prov.; 1.2.36 y 65 LDC; 34 inc. 5, 384, 529 y 549 del CPCC)”.</w:t>
      </w:r>
    </w:p>
    <w:p>
      <w:pPr>
        <w:pStyle w:val="[Normal]"/>
        <w:spacing w:line="360" w:lineRule="auto"/>
        <w:ind w:firstLine="1134"/>
        <w:jc w:val="both"/>
        <w:rPr>
          <w:lang w:val="es-AR" w:eastAsia="es-AR" w:bidi="es-AR"/>
        </w:rPr>
      </w:pPr>
      <w:r>
        <w:rPr>
          <w:lang w:val="es-AR" w:eastAsia="es-AR" w:bidi="es-AR"/>
        </w:rPr>
        <w:t xml:space="preserve">En la especie, el ejecutante al contestar la excepción es que acompañó la documentación que completaba el título (presentación electrónica de fecha 15/10/2024), la cual fue analizada por el a quo para dictar el fallo cuestionado. Que en su memorial, reitero no plantea ningún agravio respecto al análisis realizado por el juzgador sobre el título, tampoco demostró que exigencias legales fueron incumplidas ni que información fue omitida en el título sino que su cuestionamiento se encuentra apoyado únicamente en la temporaneidad en que fue acompañada dicha documental, planteo que de acuerdo a lo arriba expuesto, debe ser desestimado.</w:t>
      </w:r>
    </w:p>
    <w:p>
      <w:pPr>
        <w:pStyle w:val="[Normal]"/>
        <w:spacing w:line="360" w:lineRule="auto"/>
        <w:ind w:firstLine="1134"/>
        <w:jc w:val="both"/>
        <w:rPr>
          <w:i/>
          <w:lang w:val="es-AR" w:eastAsia="es-AR" w:bidi="es-AR"/>
        </w:rPr>
      </w:pPr>
      <w:r>
        <w:rPr>
          <w:lang w:val="es-AR" w:eastAsia="es-AR" w:bidi="es-AR"/>
        </w:rPr>
        <w:t xml:space="preserve">IV.- Por último, en cuanto al cuestionamiento sobre la falta de intervención del Agente Fiscal, en defensa de los derechos del consumidor,  ello no debe tener acogida por los fundamentos que paso a exponer. Sabido es que procesalmente la nulidad por la nulidad misma no procede sino que se debe demostrar el perjuicio que la omisión denunciada produjo en el proceso, extremo que no se encuentra reunido en autos.</w:t>
      </w:r>
    </w:p>
    <w:p>
      <w:pPr>
        <w:pStyle w:val="[Normal]"/>
        <w:spacing w:line="360" w:lineRule="auto"/>
        <w:ind w:firstLine="1134"/>
        <w:jc w:val="both"/>
        <w:rPr>
          <w:i/>
          <w:color w:val="000000"/>
          <w:lang w:val="es-AR" w:eastAsia="es-AR" w:bidi="es-AR"/>
        </w:rPr>
      </w:pPr>
      <w:r>
        <w:rPr>
          <w:lang w:val="es-AR" w:eastAsia="es-AR" w:bidi="es-AR"/>
        </w:rPr>
        <w:t xml:space="preserve">La ley 24.240 prevé en su art. 52 que</w:t>
      </w:r>
      <w:r>
        <w:rPr>
          <w:i/>
          <w:lang w:val="es-AR" w:eastAsia="es-AR" w:bidi="es-AR"/>
        </w:rPr>
        <w:t xml:space="preserve">: “</w:t>
      </w:r>
      <w:r>
        <w:rPr>
          <w:i/>
          <w:color w:val="000000"/>
          <w:lang w:val="es-AR" w:eastAsia="es-AR" w:bidi="es-AR"/>
        </w:rPr>
        <w:t xml:space="preserve">Sin perjuicio de lo dispuesto en esta ley, el consumidor y usuario podrán iniciar acciones judiciales cuando sus intereses resulten afectados o amenazados. (…) La acción corresponderá al consumidor o usuario por su propio derecho, a las asociaciones de consumidores o usuarios autorizadas en los términos del artículo 56 de esta ley, a la autoridad de aplicación nacional o local, al Defensor del Pueblo y al Ministerio Público Fiscal. Dicho Ministerio, cuando no intervenga en el proceso como parte, actuará obligatoriamente como fiscal de la ley”. Por su parte, el art. 27 de la ley provincial 13.133 estatuye en su parte pertinente: “El Ministerio Público cuando no intervenga en el proceso como parte, actuará obligatoriamente como fiscal de la ley”.</w:t>
      </w:r>
    </w:p>
    <w:p>
      <w:pPr>
        <w:pStyle w:val="[Normal]"/>
        <w:spacing w:line="360" w:lineRule="auto"/>
        <w:ind w:firstLine="1134"/>
        <w:jc w:val="both"/>
        <w:rPr>
          <w:i/>
          <w:color w:val="000000"/>
          <w:lang w:val="es-AR" w:eastAsia="es-AR" w:bidi="es-AR"/>
        </w:rPr>
      </w:pPr>
      <w:r>
        <w:rPr>
          <w:i/>
          <w:color w:val="000000"/>
          <w:lang w:val="es-AR" w:eastAsia="es-AR" w:bidi="es-AR"/>
        </w:rPr>
        <w:t xml:space="preserve">La misma SCBA en un caso de cobro sumario de dinero se ha despachado sobre la necesidad de la intervención obligatoria de organismos estatal para la protección de los derechos del mas vulnerable, en el caso en donde "el daño cuya reparación se solicita tiene origen en una relación de consumo regida por el derecho privado y alcanzada por la normativa tuitiva específica (SCBA, causas B. 69.961 y B. 69.962, resols. del 18/2/2009); a fin de que fiscalice el cumplimiento de la ley de consumo (arts. 27, ley 13.133 y 52, ley 24.240), para lo cual el legislador tuvo en mira permitir la actuación coadyuvante del órgano estatal en el proceso para salvaguardar los derechos que la ley prevé para la parte débil de la relación jurídica. La sustancia de su actuación debe ser apreciada por el órgano jurisdiccional con el mismo sentido y alcance a la que realiza el sujeto vulnerable, debiendo proporcionarle los mismos efectos que aquél pretendiere (SCBA, C. 122.176, 8/5/2019, "Israel Silicaro, Osvaldo Juan c/Beaulien, Martín Oscar s/Cobro sumario de pesos"). </w:t>
      </w:r>
    </w:p>
    <w:p>
      <w:pPr>
        <w:pStyle w:val="[Normal]"/>
        <w:spacing w:line="360" w:lineRule="auto"/>
        <w:ind w:firstLine="1134"/>
        <w:jc w:val="both"/>
        <w:rPr>
          <w:color w:val="000000"/>
          <w:lang w:val="es-AR" w:eastAsia="es-AR" w:bidi="es-AR"/>
        </w:rPr>
      </w:pPr>
      <w:r>
        <w:rPr>
          <w:color w:val="000000"/>
          <w:lang w:val="es-AR" w:eastAsia="es-AR" w:bidi="es-AR"/>
        </w:rPr>
        <w:t xml:space="preserve">Y la propia ley especial obliga la actuación del Ministerio Publico con el fin de que fiscalice su efectivo cumplimiento (arts. 27, Ley 13.133 y 52 Ley 24240).</w:t>
      </w:r>
    </w:p>
    <w:p>
      <w:pPr>
        <w:pStyle w:val="[Normal]"/>
        <w:spacing w:line="360" w:lineRule="auto"/>
        <w:ind w:firstLine="1134"/>
        <w:jc w:val="both"/>
        <w:rPr>
          <w:color w:val="000000"/>
          <w:lang w:val="es-AR" w:eastAsia="es-AR" w:bidi="es-AR"/>
        </w:rPr>
      </w:pPr>
      <w:r>
        <w:rPr>
          <w:color w:val="000000"/>
          <w:lang w:val="es-AR" w:eastAsia="es-AR" w:bidi="es-AR"/>
        </w:rPr>
        <w:t xml:space="preserve">En la especie el ejecutante plantea la nulidad con la memoria y poniendo de relieve una omisión que fuera en contra de sus propios actos cumplidos en autos.</w:t>
      </w:r>
    </w:p>
    <w:p>
      <w:pPr>
        <w:pStyle w:val="[Normal]"/>
        <w:spacing w:line="360" w:lineRule="auto"/>
        <w:ind w:firstLine="1134"/>
        <w:jc w:val="both"/>
        <w:rPr>
          <w:i/>
          <w:color w:val="000000"/>
          <w:lang w:val="es-AR" w:eastAsia="es-AR" w:bidi="es-AR"/>
        </w:rPr>
      </w:pPr>
      <w:r>
        <w:rPr>
          <w:color w:val="000000"/>
          <w:lang w:val="es-AR" w:eastAsia="es-AR" w:bidi="es-AR"/>
        </w:rPr>
        <w:t xml:space="preserve">Se ha dicho jurisprudencialmente que</w:t>
      </w:r>
      <w:r>
        <w:rPr>
          <w:i/>
          <w:color w:val="000000"/>
          <w:lang w:val="es-AR" w:eastAsia="es-AR" w:bidi="es-AR"/>
        </w:rPr>
        <w:t xml:space="preserve"> "El principio de trascendencia requiere que quien invoca la nulidad alegue y demuestre que el vicio le causó un perjuicio cierto e irreparable, que no puede subsanarse sino con el acogimiento de la sanción, no siendo suficiente la mera invocación genérica de haberse quebrantado las formas del juicio. Ello así, ya que es necesario que la irregularidad haya colocado a la parte en estado de indefensión, pero no teórica ni abstracta, sino que ha de ser cierta y efectiva. (Sumario JUBA B256987). </w:t>
      </w:r>
    </w:p>
    <w:p>
      <w:pPr>
        <w:pStyle w:val="[Normal]"/>
        <w:spacing w:line="360" w:lineRule="auto"/>
        <w:ind w:firstLine="1134"/>
        <w:jc w:val="both"/>
        <w:rPr>
          <w:lang w:val="es-AR" w:eastAsia="es-AR" w:bidi="es-AR"/>
        </w:rPr>
      </w:pPr>
      <w:r>
        <w:rPr>
          <w:lang w:val="es-AR" w:eastAsia="es-AR" w:bidi="es-AR"/>
        </w:rPr>
        <w:t xml:space="preserve">En nuestro caso, el recurrente omite profundizar en las defensas que han quedado sin interponer. Fue el mismo ejecutante quien solicitó la aplicación de la ley de defensa del consumidor, y el Juzgador en su sentencia hizo lugar a dicha pretensión pues consideró que la relación comercial ventilada entre las partes se encuentra celebrada en un marco de consumo. El cobro ejecutivo en trámite vincula únicamente a los sujetos protagonistas de la operatoria evidenciada e instrumentada en los títulos base de la ejecución. El ejecutado intervino haciendo uso de su derecho de defensa, planteando las excepciones en tiempo oportuno, y eso hizo que se resolviera la cuestión analizando la operatoria aplicando el marco protectorio del derecho del consumidor, lo que me hace concluir que la nulidad pretendida por el ejecutante por falta de intervención del Fiscal, es meramente formalista y sin sustento de fondo. </w:t>
      </w:r>
    </w:p>
    <w:p>
      <w:pPr>
        <w:pStyle w:val="[Normal]"/>
        <w:spacing w:line="360" w:lineRule="auto"/>
        <w:ind w:firstLine="1134"/>
        <w:jc w:val="both"/>
        <w:rPr>
          <w:lang w:val="es-AR" w:eastAsia="es-AR" w:bidi="es-AR"/>
        </w:rPr>
      </w:pPr>
      <w:r>
        <w:rPr>
          <w:lang w:val="es-AR" w:eastAsia="es-AR" w:bidi="es-AR"/>
        </w:rPr>
        <w:t xml:space="preserve">Por otro lado, en fecha 28/11/2025 se dictó el llamamiento de autos para sentencia, providencia que fuera consentida por las partes, por lo que consecuentemente ha quedado precluido para el demandado la posibilidad de agraviarse respecto de los vicios que pudiesen haber acontecido durante el desarrollo del trámite previo a la sentencia definitiva. </w:t>
      </w:r>
    </w:p>
    <w:p>
      <w:pPr>
        <w:pStyle w:val="[Normal]"/>
        <w:spacing w:line="360" w:lineRule="auto"/>
        <w:ind w:firstLine="1134"/>
        <w:jc w:val="both"/>
        <w:rPr>
          <w:lang w:val="es-AR" w:eastAsia="es-AR" w:bidi="es-AR"/>
        </w:rPr>
      </w:pPr>
      <w:r>
        <w:rPr>
          <w:lang w:val="es-AR" w:eastAsia="es-AR" w:bidi="es-AR"/>
        </w:rPr>
        <w:t xml:space="preserve">Al respecto, la doctrina y jurisprudencia procesal son pacíficas en asignarle al llamamiento de autos o providencia de autos para resolver el efecto de saneamiento de todos los vicios de actividad anteriores una vez consentido este despacho judicial que hace así de compuerta tras la cual todos aquellos defectos pierden virtualidad. Esta eficacia saneatoria o de convalidación general reposa en dos principios básicos que campean en la materia: el carácter relativo de las nulidad procesales y la necesidad de que éstas sean argüidas indefectiblemente en la misma instancia en que se hubieren producido (MORELLO, Mario Augusto; SOSA, Gualberto Lucas; BERIZONCE, Roberto Omar, Códigos procesales en lo civil y comercial de la Provincia de Buenos Aires y de la Nación, Comentados y Anotados, Tomo IV, Cuarta edición ampliada y actualizada, Buenos Aires, Ed. Abeledo Perrot, 2015, pag. 395 y 396). Y, esto último no aconteció en nuestro caso, pues la nulidad es planteada en el memorial.</w:t>
      </w:r>
    </w:p>
    <w:p>
      <w:pPr>
        <w:pStyle w:val="[Normal]"/>
        <w:spacing w:line="360" w:lineRule="auto"/>
        <w:ind w:firstLine="1134"/>
        <w:jc w:val="both"/>
        <w:rPr>
          <w:lang w:val="es-AR" w:eastAsia="es-AR" w:bidi="es-AR"/>
        </w:rPr>
      </w:pPr>
      <w:r>
        <w:rPr>
          <w:lang w:val="es-AR" w:eastAsia="es-AR" w:bidi="es-AR"/>
        </w:rPr>
        <w:t xml:space="preserve">A mayor abundamiento, y luego de dictar la sentencia el operador de grado notificó al Fiscal mediante el pase de rigor, habiéndose presentado en fecha 13/2/2026 y asumido su intervención, sin realizar ninguna planteo que sea sustentado en la vulneración a los derechos de los consumidores por los cuales deba velar ni alegó perjuicio alguno por no haber asumido una más temprana intervención en la causa. 	</w:t>
        <w:br w:type="textWrapping"/>
      </w:r>
      <w:r>
        <w:rPr>
          <w:lang w:val="es-AR" w:eastAsia="es-AR" w:bidi="es-AR"/>
        </w:rPr>
        <w:t xml:space="preserve"> 	No está de más señalar, que desde esta Alzada se le corrió la vista de rigor el 21/5/2026 antes del dictado de la presente, contestada la misma mediante el dictamen de fecha 29/5/2026.	</w:t>
        <w:br w:type="textWrapping"/>
      </w:r>
      <w:r>
        <w:rPr>
          <w:lang w:val="es-AR" w:eastAsia="es-AR" w:bidi="es-AR"/>
        </w:rPr>
        <w:t xml:space="preserve"> 	Todo ello sumado a que en el caso, la defensa del consumidor estuvo asegurada mediante la asistencia letrada obligatoria que fue esbozada en el proceso (art- 56 CPCC), lo que me llevan a rechazar el intento recursivo.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el decisorio puesto en crisis.</w:t>
      </w:r>
    </w:p>
    <w:p>
      <w:pPr>
        <w:pStyle w:val="[Normal]"/>
        <w:spacing w:line="360" w:lineRule="auto"/>
        <w:ind w:firstLine="1134"/>
        <w:jc w:val="both"/>
        <w:rPr>
          <w:lang w:val="es-AR" w:eastAsia="es-AR" w:bidi="es-AR"/>
        </w:rPr>
      </w:pPr>
      <w:r>
        <w:rPr>
          <w:lang w:val="es-AR" w:eastAsia="es-AR" w:bidi="es-AR"/>
        </w:rPr>
        <w:t xml:space="preserve">Costas al apelante perdidoso (arts. 68/69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liquidación definitiva (art. 51 ley 14.967).</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 apelación deducido, y en consecuencia confirmar el decisorio puesto en crisis.</w:t>
      </w:r>
    </w:p>
    <w:p>
      <w:pPr>
        <w:pStyle w:val="[Normal]"/>
        <w:spacing w:line="360" w:lineRule="auto"/>
        <w:ind w:firstLine="1134"/>
        <w:jc w:val="both"/>
        <w:rPr>
          <w:lang w:val="es-AR" w:eastAsia="es-AR" w:bidi="es-AR"/>
        </w:rPr>
      </w:pPr>
      <w:r>
        <w:rPr>
          <w:lang w:val="es-AR" w:eastAsia="es-AR" w:bidi="es-AR"/>
        </w:rPr>
        <w:t xml:space="preserve">Costas al apelante perdidoso (arts. 68/69 CPCC).</w:t>
      </w:r>
    </w:p>
    <w:p>
      <w:pPr>
        <w:pStyle w:val="[Normal]"/>
        <w:spacing w:line="360" w:lineRule="auto"/>
        <w:ind w:firstLine="1134"/>
        <w:jc w:val="both"/>
        <w:rPr>
          <w:lang w:val="es-AR" w:eastAsia="es-AR" w:bidi="es-AR"/>
        </w:rPr>
      </w:pPr>
      <w:r>
        <w:rPr>
          <w:lang w:val="es-AR" w:eastAsia="es-AR" w:bidi="es-AR"/>
        </w:rPr>
        <w:t xml:space="preserve">Diferir la regulación de honorarios hasta tanto obre en autos liquidación definitiva (art. 51 ley 14.967).</w:t>
      </w:r>
    </w:p>
    <w:p>
      <w:pPr>
        <w:pStyle w:val="[Normal]"/>
        <w:spacing w:line="360" w:lineRule="auto"/>
        <w:ind w:firstLine="1134"/>
        <w:jc w:val="both"/>
        <w:rPr>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18/06/2026 10:34:04 -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18/06/2026 10:53:56 -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18/06/2026 11:16:42 - ELUSTONDO Maria Magdalena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‰83")è&amp;|(`wŠ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241902090006920864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18/06/2026 11:16:57 hs. bajo el número RS-104-2026 por PE\melustondo.</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