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6039-26</w:t>
      </w:r>
      <w:r>
        <w:rPr>
          <w:lang w:val="es-AR" w:eastAsia="es-AR" w:bidi="es-AR"/>
        </w:rPr>
        <w:t xml:space="preserve"> caratulada </w:t>
      </w:r>
      <w:r>
        <w:rPr>
          <w:b/>
          <w:lang w:val="es-AR" w:eastAsia="es-AR" w:bidi="es-AR"/>
        </w:rPr>
        <w:t xml:space="preserve">"</w:t>
      </w:r>
      <w:r>
        <w:rPr>
          <w:b/>
          <w:color w:val="000000"/>
          <w:lang w:val="es-AR" w:eastAsia="es-AR" w:bidi="es-AR"/>
        </w:rPr>
        <w:t xml:space="preserve">AGROFERT ARGENTINA S.A.  C/ GUIDI NESTOR EZEQUIEL S/ COBRO SUMARIO SUMAS DINERO (EXC.ALQUILERES, ETC.)</w:t>
      </w:r>
      <w:r>
        <w:rPr>
          <w:b/>
          <w:lang w:val="es-AR" w:eastAsia="es-AR" w:bidi="es-AR"/>
        </w:rPr>
        <w:t xml:space="preserve">"</w:t>
      </w:r>
      <w:r>
        <w:rPr>
          <w:lang w:val="es-AR" w:eastAsia="es-AR" w:bidi="es-AR"/>
        </w:rPr>
        <w:t xml:space="preserve">, Expte. </w:t>
      </w:r>
      <w:r>
        <w:rPr>
          <w:color w:val="000000"/>
          <w:lang w:val="es-AR" w:eastAsia="es-AR" w:bidi="es-AR"/>
        </w:rPr>
        <w:t xml:space="preserve">79.284</w:t>
      </w:r>
      <w:r>
        <w:rPr>
          <w:color w:val="000000"/>
          <w:lang w:val="es-AR" w:eastAsia="es-AR" w:bidi="es-AR"/>
        </w:rPr>
        <w:t xml:space="preserve"> </w:t>
      </w:r>
      <w:r>
        <w:rPr>
          <w:lang w:val="es-AR" w:eastAsia="es-AR" w:bidi="es-AR"/>
        </w:rPr>
        <w:t xml:space="preserve">del Juzgado en lo Civil y Comerial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 lugar a la demanda instaurada por </w:t>
      </w:r>
      <w:r>
        <w:rPr>
          <w:color w:val="000000"/>
          <w:lang w:val="es-AR" w:eastAsia="es-AR" w:bidi="es-AR"/>
        </w:rPr>
        <w:t xml:space="preserve">AGROFERT ARGENTINA S. A.</w:t>
      </w:r>
      <w:r>
        <w:rPr>
          <w:lang w:val="es-AR" w:eastAsia="es-AR" w:bidi="es-AR"/>
        </w:rPr>
        <w:t xml:space="preserve">, condenó en consecuencia al Sr. Nestor Ezequiel Guidi a abonar a la parte actora, dentro de los diez días de notificada la presente, la suma de DOCE MIL QUINIENTOS NOVENTA Dólares Estadounidenses con 37/100 (U$S12.590,37) -deuda por factura N°0002-00003822 U$S11.139,77 y deuda por factura N°0002-00003666 U$S1.450,60</w:t>
      </w:r>
      <w:r>
        <w:rPr>
          <w:rStyle w:val="U"/>
          <w:u w:val="none"/>
          <w:lang w:val="es-AR" w:eastAsia="es-AR" w:bidi="es-AR"/>
        </w:rPr>
        <w:t xml:space="preserve">-</w:t>
      </w:r>
      <w:r>
        <w:rPr>
          <w:lang w:val="es-AR" w:eastAsia="es-AR" w:bidi="es-AR"/>
        </w:rPr>
        <w:t xml:space="preserve">, conforme a la tasa que percibe el Banco Pcia. de Bs. As. en sus  operaciones  de descuento -tasa activa-, a partir de la fecha de la mora correspondiente a cada una de las deudas: 30/04/2022 y 20/05/2022, respectivamente; con la salvedad de que se evaluará si los mismos son excesivos y contrarios a la moral y buenas costumbres, en el momento procesal de examinar la  liquidación, teniendo en cuenta lo que disponen los arts. 10, 279, 725, 794 y Ccs. del C.C.C.N.. Aplicó las costas a la parte demandada que resulta vencida (Art. 68 C.P.C.). Difirió la regulación de honorarios del profesional interviniente, hasta que medie firme la respectiva liquidación de intereses y gastos (art. 51 ley 14.967).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18-3-2026 por la parte demandada, concedido el 7-4-2026 libremente y en efecto suspensivo.</w:t>
      </w:r>
    </w:p>
    <w:p>
      <w:pPr>
        <w:pStyle w:val="[Normal]"/>
        <w:spacing w:line="360" w:lineRule="auto"/>
        <w:ind w:firstLine="1134"/>
        <w:jc w:val="both"/>
        <w:rPr>
          <w:lang w:val="es-AR" w:eastAsia="es-AR" w:bidi="es-AR"/>
        </w:rPr>
      </w:pPr>
      <w:r>
        <w:rPr>
          <w:lang w:val="es-AR" w:eastAsia="es-AR" w:bidi="es-AR"/>
        </w:rPr>
        <w:t xml:space="preserve">Elevados los autos a esta Alzada con fecha 14-4-2026 se ordenó expresar agravios a la parte demandada, quien el 21-4-2026 los fundó. El 28-4-2026 traslado a la parte actora, quien el 4-5-2026 los evacuo. El día luce 7-5-2026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I) La parte demandada despliega diversos agravios contra la sentencia de primera instancia: 1) Sostiene que el aquo incurrió en un error conceptual al otorgar a la rebeldía y a la confesión ficta un alcance que la ley no les reconoce, relevando indebidamente a la actora de la carga de la prueba (onus probandi). Señala que ambas figuras constituyen presunciones simples que deben valorarse en conjunto con el resto de las pruebas (arts. 60 y 415 CPCC) y que, en el caso, existen elementos probatorios que contradicen frontalmente la versión de la actora.</w:t>
      </w:r>
    </w:p>
    <w:p>
      <w:pPr>
        <w:pStyle w:val="[Normal]"/>
        <w:spacing w:line="360" w:lineRule="auto"/>
        <w:ind w:firstLine="1134"/>
        <w:jc w:val="both"/>
        <w:rPr>
          <w:lang w:val="es-AR" w:eastAsia="es-AR" w:bidi="es-AR"/>
        </w:rPr>
      </w:pPr>
      <w:r>
        <w:rPr>
          <w:lang w:val="es-AR" w:eastAsia="es-AR" w:bidi="es-AR"/>
        </w:rPr>
        <w:t xml:space="preserve">2) Cuestiona la valoración de las pruebas, en particular:  la validez de los remitos acompañados por la actora, por carecer de los requisitos formales exigidos por la normativa ARCA/AFIP, por haber sido firmados por terceros sin vínculo acreditado con el demandado, y por no hallar sustento en los libros contables de la actora; y  la procedencia de las dos facturas reclamadas, señalando que la pericia contable -producida e impulsada por la propia actora- sólo registra una factura en pesos (N° 3822, por $663.022,59), sin que exista obligación en dólares ni segunda factura reconocida contablemente.</w:t>
      </w:r>
    </w:p>
    <w:p>
      <w:pPr>
        <w:pStyle w:val="[Normal]"/>
        <w:spacing w:line="360" w:lineRule="auto"/>
        <w:ind w:firstLine="1134"/>
        <w:jc w:val="both"/>
        <w:rPr>
          <w:lang w:val="es-AR" w:eastAsia="es-AR" w:bidi="es-AR"/>
        </w:rPr>
      </w:pPr>
      <w:r>
        <w:rPr>
          <w:lang w:val="es-AR" w:eastAsia="es-AR" w:bidi="es-AR"/>
        </w:rPr>
        <w:t xml:space="preserve">3) Controvierte la tasa de interés aplicada, por cuanto la "tasa activa" del Banco de la Provincia de Buenos Aires no existe en dólares, y solicita que, en caso de mantenerse condena, se fije una tasa de entre el 4% y el 8% anual, conforme jurisprudencia aplicable para deudas en moneda extranjera.</w:t>
      </w:r>
    </w:p>
    <w:p>
      <w:pPr>
        <w:pStyle w:val="[Normal]"/>
        <w:spacing w:line="360" w:lineRule="auto"/>
        <w:ind w:firstLine="1134"/>
        <w:jc w:val="both"/>
        <w:rPr>
          <w:lang w:val="es-AR" w:eastAsia="es-AR" w:bidi="es-AR"/>
        </w:rPr>
      </w:pPr>
      <w:r>
        <w:rPr>
          <w:lang w:val="es-AR" w:eastAsia="es-AR" w:bidi="es-AR"/>
        </w:rPr>
        <w:t xml:space="preserve">4) Invoca afectación del derecho de defensa en juicio y del derecho de propiedad (arts. 17 y 18 CN), al fundarse la condena en presunciones desvirtuadas por la prueba, prescindiendo de las constancias objetivas de la causa.</w:t>
      </w:r>
    </w:p>
    <w:p>
      <w:pPr>
        <w:pStyle w:val="[Normal]"/>
        <w:spacing w:line="360" w:lineRule="auto"/>
        <w:ind w:firstLine="1134"/>
        <w:jc w:val="both"/>
        <w:rPr>
          <w:lang w:val="es-AR" w:eastAsia="es-AR" w:bidi="es-AR"/>
        </w:rPr>
      </w:pPr>
      <w:r>
        <w:rPr>
          <w:lang w:val="es-AR" w:eastAsia="es-AR" w:bidi="es-AR"/>
        </w:rPr>
        <w:t xml:space="preserve">II) A su turno la parte actora solicita el rechazo del recurso y la confirmación de la sentencia. Sostiene que la documentación aportada -facturas y remitos-  acredita las operaciones de compraventa. Afirma que el remito N° 15783 fue firmado por el propio demandado, señalando una notoria coincidencia entre esa firma y la obrante en el escrito de expresión de agravios. Aduce que la incontestación de la demanda, la rebeldía y la confesión ficta tornaron innecesaria la producción de prueba adicional oportunamente ofrecida -entre ella, pericial caligráfica en subsidio-. Respecto de la pericia contable, sostiene que, si bien registra la factura N° 3822, debe priorizarse la "realidad económica" que surge de la documentación no cuestionada. En cuanto a los intereses, señala que el juzgador difirió su fijación a la etapa de liquidación y que su parte había solicitado la tasa correspondiente a operaciones en dólares.</w:t>
      </w:r>
    </w:p>
    <w:p>
      <w:pPr>
        <w:pStyle w:val="[Normal]"/>
        <w:spacing w:line="360" w:lineRule="auto"/>
        <w:ind w:firstLine="1134"/>
        <w:jc w:val="both"/>
        <w:rPr>
          <w:lang w:val="es-AR" w:eastAsia="es-AR" w:bidi="es-AR"/>
        </w:rPr>
      </w:pPr>
      <w:r>
        <w:rPr>
          <w:lang w:val="es-AR" w:eastAsia="es-AR" w:bidi="es-AR"/>
        </w:rPr>
        <w:t xml:space="preserve">III) Entrando a resolver liminarmente daré tratamiento al alcance de la rebeldía y la confesión ficta puesta en crisis por la recurrente.</w:t>
      </w:r>
    </w:p>
    <w:p>
      <w:pPr>
        <w:pStyle w:val="[Normal]"/>
        <w:spacing w:line="360" w:lineRule="auto"/>
        <w:ind w:firstLine="1134"/>
        <w:jc w:val="both"/>
        <w:rPr>
          <w:lang w:val="es-AR" w:eastAsia="es-AR" w:bidi="es-AR"/>
        </w:rPr>
      </w:pPr>
      <w:r>
        <w:rPr>
          <w:lang w:val="es-AR" w:eastAsia="es-AR" w:bidi="es-AR"/>
        </w:rPr>
        <w:t xml:space="preserve">En la especie, el operador no sólo ha tenido en cuenta la presunción de veracidad de los hechos lícitos afirmados por la actora en su libelo inicial (arts. 263 y 264 del CCCN y arts. 59, 60, 534 inc 1 del CPCC sino que ha tenido por reconocidos los documentos allegados junto con la demanda por imperativo legal (art. 354 inc 1 del CPCC) y asimismo evaluó la documental de la cual surge la existencia de los negocios detallados y documentación respaldatoria perteneciente a los créditos, no observados por la demandada, y que lleva a su admisión conforme lo normado por los arts. 957, 959, 1021, 1061, 1063, 2651 y ccs del CCCN.</w:t>
      </w:r>
    </w:p>
    <w:p>
      <w:pPr>
        <w:pStyle w:val="[Normal]"/>
        <w:spacing w:line="360" w:lineRule="auto"/>
        <w:ind w:firstLine="1134"/>
        <w:jc w:val="both"/>
        <w:rPr>
          <w:lang w:val="es-AR" w:eastAsia="es-AR" w:bidi="es-AR"/>
        </w:rPr>
      </w:pPr>
      <w:r>
        <w:rPr>
          <w:lang w:val="es-AR" w:eastAsia="es-AR" w:bidi="es-AR"/>
        </w:rPr>
        <w:t xml:space="preserve">Meritó que por la falta de negativa a su respecto impuesta por el ritual (art. 354 inc 1 del CPCC) o por lo normado en el art. 263 del CCCN en cuanto exigen el deber de negar o reconocer la firma de los documentos presentados en juicio que se le atribuyen, aquellos debían tenerse como indubitados.</w:t>
      </w:r>
    </w:p>
    <w:p>
      <w:pPr>
        <w:pStyle w:val="[Normal]"/>
        <w:spacing w:line="360" w:lineRule="auto"/>
        <w:ind w:firstLine="1134"/>
        <w:jc w:val="both"/>
        <w:rPr>
          <w:lang w:val="es-AR" w:eastAsia="es-AR" w:bidi="es-AR"/>
        </w:rPr>
      </w:pPr>
      <w:r>
        <w:rPr>
          <w:lang w:val="es-AR" w:eastAsia="es-AR" w:bidi="es-AR"/>
        </w:rPr>
        <w:t xml:space="preserve">Adunando a ello se observa evaluación de la prueba confesional en la audiencia de fecha 31/10/2025 teniendo por confeso al demandado respecto de las posiciones en punto a que aquel adquirió mercadería comercializada por la parte actora, que la misma fue instrumentada mediante las facturas Nro. 3.822 de fecha 29/12/2021 por U$U 7.139,77 con fecha de vencimiento 30/04/2022 y mediante factura Nro. 3.666 de fecha 16/11/2022 con vencimiento en fecha 20/05/2022 por la suma de U$S 1.450,60, que dicha mercadería fue entregada realizando un pago parcial adeudando la suma de U$S 12.590,37 en concepto de capital con  más sus intereses (arts. 384, 415 y ccs del CPCC).</w:t>
      </w:r>
    </w:p>
    <w:p>
      <w:pPr>
        <w:pStyle w:val="[Normal]"/>
        <w:spacing w:line="360" w:lineRule="auto"/>
        <w:ind w:firstLine="1134"/>
        <w:jc w:val="both"/>
        <w:rPr>
          <w:lang w:val="es-AR" w:eastAsia="es-AR" w:bidi="es-AR"/>
        </w:rPr>
      </w:pPr>
      <w:r>
        <w:rPr>
          <w:lang w:val="es-AR" w:eastAsia="es-AR" w:bidi="es-AR"/>
        </w:rPr>
        <w:t xml:space="preserve">Contrariamente a lo sostenido por el quejoso que pretende mejorar el resultado adverso, el disgusto no puede prosperar en cuanto el magistrado ha evaluado los efectos de la confesión a partir de la rebeldía a la luz del plexo probatorio producido y del resto de las constancias de la causa. Y no se advierte que se puede neutralizar esta ficción legal en cuanto no concurren otros factores que arrojen un resultado diferente como pretende el doliente.</w:t>
      </w:r>
    </w:p>
    <w:p>
      <w:pPr>
        <w:pStyle w:val="[Normal]"/>
        <w:spacing w:line="360" w:lineRule="auto"/>
        <w:ind w:firstLine="1134"/>
        <w:jc w:val="both"/>
        <w:rPr>
          <w:lang w:val="es-AR" w:eastAsia="es-AR" w:bidi="es-AR"/>
        </w:rPr>
      </w:pPr>
      <w:r>
        <w:rPr>
          <w:lang w:val="es-AR" w:eastAsia="es-AR" w:bidi="es-AR"/>
        </w:rPr>
        <w:t xml:space="preserve">Si bien la confesión ficta no tiene un valor probatorio absoluto, ante la ausencia de elementos que la desvirtúen, debe reconocerse sus efectos, debiéndose, en tal caso, tener por probados los hechos consignados en el pliego de posiciones, aunque éstos se hallen en contradicción con los afirmados por la propia parte en otras piezas del proceso y siempre que no resulten desvirtuados por prueba en contrario producida por el absolvente (arts. 411, 412 y 414, CPCC CC0202 LP 125813 RSD 325/19 S 10/12/2019 Juez HANKOVITS (SD).</w:t>
      </w:r>
    </w:p>
    <w:p>
      <w:pPr>
        <w:pStyle w:val="[Normal]"/>
        <w:spacing w:line="360" w:lineRule="auto"/>
        <w:ind w:firstLine="1134"/>
        <w:jc w:val="both"/>
        <w:rPr>
          <w:lang w:val="es-AR" w:eastAsia="es-AR" w:bidi="es-AR"/>
        </w:rPr>
      </w:pPr>
      <w:r>
        <w:rPr>
          <w:lang w:val="es-AR" w:eastAsia="es-AR" w:bidi="es-AR"/>
        </w:rPr>
        <w:t xml:space="preserve">La confesión ficta produce los mismos efectos que la confesión expresa, vale decir, ostenta el valor de plena prueba y resulta suficiente para acreditar los hechos personales a los que el pliego de posiciones hace referencia, aunque éstos se hallen en contradicción con los afirmados por la propia parte en otras piezas del proceso (art. 421 y 422, CPC); radicando la única diferencia en que no reviste el carácter de prueba tasada, ya que la ley faculta al juez para considerar confeso al citado "...teniendo en cuenta las circunstancias de la causa" (art. 415 cód. cit.), lo cual implica que es susceptible de desvirtuarse mediante prueba en contrario producida por el absolvente. CPCB Art. 421 Ver Norma | CPCB Art. 422 Ver Norma | CPCB Art. 415 Ver Norma |CC0001 QL 14633 RSD 55/13 S 07/08/2013 Juez CELESIA (SD) Magistrados Votantes: Busteros-Celesia-Señaris.</w:t>
      </w:r>
    </w:p>
    <w:p>
      <w:pPr>
        <w:pStyle w:val="[Normal]"/>
        <w:spacing w:line="360" w:lineRule="auto"/>
        <w:ind w:firstLine="1134"/>
        <w:jc w:val="both"/>
        <w:rPr>
          <w:lang w:val="es-AR" w:eastAsia="es-AR" w:bidi="es-AR"/>
        </w:rPr>
      </w:pPr>
      <w:r>
        <w:rPr>
          <w:lang w:val="es-AR" w:eastAsia="es-AR" w:bidi="es-AR"/>
        </w:rPr>
        <w:t xml:space="preserve">Debo señalar que aquí el demandado incumplió la carga de comparecer a estar a derecho en la oportunidad de contestar la demanda, dejando precluir de ese modo el momento procesal que para esgrimir sus defensas, efectuar negociaciones y aportar pruebas, efectivamente tuvo. En virtud de la carga incumplida, le fue declarada su rebeldía, instituto procesal que evidentemente, tiene efectos propios. Si bien no se interpreta la falta de presentación como falta de razón, el juez no debe suplir la inactividad del voluntario incompareciente. CC0001 LZ 63899 RSD-377-7 S 30/10/2007 Juez TABERNERO (SD) Caratula: G.E.B c/L.R. s/DAÑOS Y PERJUICIOS Magistrados Votantes: Tabernero-Igoldi.</w:t>
      </w:r>
    </w:p>
    <w:p>
      <w:pPr>
        <w:pStyle w:val="[Normal]"/>
        <w:spacing w:line="360" w:lineRule="auto"/>
        <w:ind w:firstLine="1134"/>
        <w:jc w:val="both"/>
        <w:rPr>
          <w:lang w:val="es-AR" w:eastAsia="es-AR" w:bidi="es-AR"/>
        </w:rPr>
      </w:pPr>
      <w:r>
        <w:rPr>
          <w:lang w:val="es-AR" w:eastAsia="es-AR" w:bidi="es-AR"/>
        </w:rPr>
        <w:t xml:space="preserve">El quejoso se escuda en que la pericial contable solo alude a una factura que lo vincularía con el actor, esto es la Nro. 3.822 y por un valor de $ 663.022,59 y dice que de esa pericia no surge ninguna obligación en dólares, no encontrando correlato entre los propios registros de la empresa accionante.  Más la eficacia probatoria de la misma fue cotejada con la admisión de la operatoria comercial y la documentación respaldatoria que ha quedado reconocida por inacción justamente del demandado.</w:t>
      </w:r>
    </w:p>
    <w:p>
      <w:pPr>
        <w:pStyle w:val="[Normal]"/>
        <w:spacing w:line="360" w:lineRule="auto"/>
        <w:ind w:firstLine="1134"/>
        <w:jc w:val="both"/>
        <w:rPr>
          <w:lang w:val="es-AR" w:eastAsia="es-AR" w:bidi="es-AR"/>
        </w:rPr>
      </w:pPr>
      <w:r>
        <w:rPr>
          <w:lang w:val="es-AR" w:eastAsia="es-AR" w:bidi="es-AR"/>
        </w:rPr>
        <w:t xml:space="preserve">La falta de contestación de la demanda por parte del deudor permite al juez presumir verdaderos los hechos afirmados por el acreedor y en el punto  reconocimiento de deuda los documentos presentados por el actor (como facturas y remitos) adquieren un peso probatorio casi irrefutable al no haber oposición. En la confesión ficta justamente el deudor  rebelde pierde la oportunidad de defenderse, objetar precios o negar la recepción de los productos.</w:t>
      </w:r>
    </w:p>
    <w:p>
      <w:pPr>
        <w:pStyle w:val="[Normal]"/>
        <w:spacing w:line="360" w:lineRule="auto"/>
        <w:ind w:firstLine="1134"/>
        <w:jc w:val="both"/>
        <w:rPr>
          <w:lang w:val="es-AR" w:eastAsia="es-AR" w:bidi="es-AR"/>
        </w:rPr>
      </w:pPr>
      <w:r>
        <w:rPr>
          <w:lang w:val="es-AR" w:eastAsia="es-AR" w:bidi="es-AR"/>
        </w:rPr>
        <w:t xml:space="preserve">Los planteos aquí traídos tienden a neutralizar los efectos del instituto en análisis así como las consecuencias adversas que acarrea la inactividad procesal del accionado, lo que no puede ser recibido, concluyéndose que el operador de grado  ha revisado el plexo probatorio y las constancias de autos y que la conclusión alcanzada no ha sido el producto de una aplicación automática de la rebeldía y sus efectos, como pretende el quejoso.</w:t>
      </w:r>
    </w:p>
    <w:p>
      <w:pPr>
        <w:pStyle w:val="[Normal]"/>
        <w:spacing w:line="360" w:lineRule="auto"/>
        <w:ind w:firstLine="1134"/>
        <w:jc w:val="both"/>
        <w:rPr>
          <w:lang w:val="es-AR" w:eastAsia="es-AR" w:bidi="es-AR"/>
        </w:rPr>
      </w:pPr>
      <w:r>
        <w:rPr>
          <w:lang w:val="es-AR" w:eastAsia="es-AR" w:bidi="es-AR"/>
        </w:rPr>
        <w:t xml:space="preserve">En este caso puntual   la confesión ficta en que ha incurrido el demandado  (art. 415 del CPCC) constituye  plena prueba - es decir resulta suficiente para tener por probado el hecho de la entrega de la mercadería consignado en el pliego, sea que se considere en su necesidad de conjugarla con “las circunstancias de la causa” para tal virtualidad (dado su carácter de no tasada a la diferencia de la confesión expresa)que existan otros elementos de convicción que la corroboren o que se satisfaga simplemente con la ausencia de otros elementos de juicio que la contradigan (ver Fenocchietto-Arazi Código To. 2 p. 416/7; Palacio Derecho Procesal Civil To. IV actual. por Camps p. 439 y Jurisp. citada en notas 173/175).</w:t>
      </w:r>
    </w:p>
    <w:p>
      <w:pPr>
        <w:pStyle w:val="[Normal]"/>
        <w:spacing w:line="360" w:lineRule="auto"/>
        <w:ind w:firstLine="1134"/>
        <w:jc w:val="both"/>
        <w:rPr>
          <w:lang w:val="es-AR" w:eastAsia="es-AR" w:bidi="es-AR"/>
        </w:rPr>
      </w:pPr>
      <w:r>
        <w:rPr>
          <w:lang w:val="es-AR" w:eastAsia="es-AR" w:bidi="es-AR"/>
        </w:rPr>
        <w:t xml:space="preserve">En efecto, al margen de no existir aporte probatorio alguno que contradiga el cumplimiento de la prestación a cargo del vendedor  y aún prescindiendo del aspecto sustantivo medular de la decisión adoptada y en el que hace centro la crítica, como veremos luego la fuerza dimanante de la absolución en rebeldía se ve confirmada por otros factores presuncionales que dan sustento lógico y jurídico a la defensa esgrimida (arts. 375 y 163 inc. 5 CPCC).</w:t>
      </w:r>
    </w:p>
    <w:p>
      <w:pPr>
        <w:pStyle w:val="[Normal]"/>
        <w:spacing w:line="360" w:lineRule="auto"/>
        <w:ind w:firstLine="1134"/>
        <w:jc w:val="both"/>
        <w:rPr>
          <w:lang w:val="es-AR" w:eastAsia="es-AR" w:bidi="es-AR"/>
        </w:rPr>
      </w:pPr>
      <w:r>
        <w:rPr>
          <w:lang w:val="es-AR" w:eastAsia="es-AR" w:bidi="es-AR"/>
        </w:rPr>
        <w:t xml:space="preserve">El quejoso sostiene en sus agravios que las supuestas facturas en las que la actora edifica su demanda son elementos unilateralmente emitidos por ella y no forman parte de su contabilidad, acudiendo a la pericia contable ofrecida por la propia accionante ,pretendiendo con esto modificar la decisión adoptada por el juez de grado y procurando una solución distinta.</w:t>
      </w:r>
    </w:p>
    <w:p>
      <w:pPr>
        <w:pStyle w:val="[Normal]"/>
        <w:spacing w:line="360" w:lineRule="auto"/>
        <w:ind w:firstLine="1134"/>
        <w:jc w:val="both"/>
        <w:rPr>
          <w:lang w:val="es-AR" w:eastAsia="es-AR" w:bidi="es-AR"/>
        </w:rPr>
      </w:pPr>
      <w:r>
        <w:rPr>
          <w:lang w:val="es-AR" w:eastAsia="es-AR" w:bidi="es-AR"/>
        </w:rPr>
        <w:t xml:space="preserve">Aquí me detendré abordando el valor probatorio y naturaleza de los remitos en cuanto es el documento que constata la entrega de mercaderías o la prestación de servicios, emitido típicamente por el proveedor y receptado (o no) por el adquirente. Desde el punto de vista del CCyC, su encuadre depende de si lleva o no firma:</w:t>
      </w:r>
    </w:p>
    <w:p>
      <w:pPr>
        <w:pStyle w:val="[Normal]"/>
        <w:spacing w:line="360" w:lineRule="auto"/>
        <w:ind w:firstLine="1134"/>
        <w:jc w:val="both"/>
        <w:rPr>
          <w:lang w:val="es-AR" w:eastAsia="es-AR" w:bidi="es-AR"/>
        </w:rPr>
      </w:pPr>
      <w:r>
        <w:rPr>
          <w:lang w:val="es-AR" w:eastAsia="es-AR" w:bidi="es-AR"/>
        </w:rPr>
        <w:t xml:space="preserve">a) Remito firmado por el receptor: es un instrumento privado (art. 287, primer párrafo, CCyC). Una vez reconocida la firma -o si no es impugnada oportunamente- adquiere eficacia probatoria plena entre las partes (art. 314 CCyC) y frente a terceros desde su fecha cierta (art. 317 CCyC).</w:t>
      </w:r>
    </w:p>
    <w:p>
      <w:pPr>
        <w:pStyle w:val="[Normal]"/>
        <w:spacing w:line="360" w:lineRule="auto"/>
        <w:ind w:firstLine="1134"/>
        <w:jc w:val="both"/>
        <w:rPr>
          <w:lang w:val="es-AR" w:eastAsia="es-AR" w:bidi="es-AR"/>
        </w:rPr>
      </w:pPr>
      <w:r>
        <w:rPr>
          <w:lang w:val="es-AR" w:eastAsia="es-AR" w:bidi="es-AR"/>
        </w:rPr>
        <w:t xml:space="preserve">b) Remito sin firma o con sello solamente: cae en la categoría de instrumento particular no firmado (art. 287, segundo párrafo, CCyC). El CCyC clasifica expresamente a los instrumentos privados según estén o no firmados: son instrumentos privados propiamente dichos si están firmados, mientras que son particulares cuando no lo están. </w:t>
      </w:r>
    </w:p>
    <w:p>
      <w:pPr>
        <w:pStyle w:val="[Normal]"/>
        <w:spacing w:line="360" w:lineRule="auto"/>
        <w:ind w:firstLine="1134"/>
        <w:jc w:val="both"/>
        <w:rPr>
          <w:lang w:val="es-AR" w:eastAsia="es-AR" w:bidi="es-AR"/>
        </w:rPr>
      </w:pPr>
      <w:r>
        <w:rPr>
          <w:lang w:val="es-AR" w:eastAsia="es-AR" w:bidi="es-AR"/>
        </w:rPr>
        <w:t xml:space="preserve">Como lo he señalado el juez ha evaluado ambas circunstancias y por un camino u otro ha llegado a la conclusión de que tienen eficacia probatoria aquellos respaldos documentales presentados con la demanda por el actor. Y no negados en su oportunidad por el accionado.</w:t>
      </w:r>
    </w:p>
    <w:p>
      <w:pPr>
        <w:pStyle w:val="[Normal]"/>
        <w:spacing w:line="360" w:lineRule="auto"/>
        <w:ind w:firstLine="1134"/>
        <w:jc w:val="both"/>
        <w:rPr>
          <w:lang w:val="es-AR" w:eastAsia="es-AR" w:bidi="es-AR"/>
        </w:rPr>
      </w:pPr>
      <w:r>
        <w:rPr>
          <w:lang w:val="es-AR" w:eastAsia="es-AR" w:bidi="es-AR"/>
        </w:rPr>
        <w:t xml:space="preserve">Es que el art.  319 del CCyC establece que el valor probatorio de los instrumentos particulares debe ser apreciado por el juez ponderando, entre otras pautas, la congruencia entre lo sucedido y narrado, la precisión y claridad técnica del texto, los usos y prácticas del tráfico, las relaciones precedentes y la confiabilidad de los soportes utilizados y de los procedimientos técnicos que se apliquen. </w:t>
      </w:r>
    </w:p>
    <w:p>
      <w:pPr>
        <w:pStyle w:val="[Normal]"/>
        <w:spacing w:line="360" w:lineRule="auto"/>
        <w:ind w:firstLine="1134"/>
        <w:jc w:val="both"/>
        <w:rPr>
          <w:lang w:val="es-AR" w:eastAsia="es-AR" w:bidi="es-AR"/>
        </w:rPr>
      </w:pPr>
      <w:r>
        <w:rPr>
          <w:lang w:val="es-AR" w:eastAsia="es-AR" w:bidi="es-AR"/>
        </w:rPr>
        <w:t xml:space="preserve">Esto implica que el remito no firmado no tiene valor probatorio tasado ni pleno por sí solo: su eficacia queda librada a la apreciación judicial en el contexto de la totalidad del cuadro probatorio. Funciona típicamente como: Principio de prueba por escrito, que habilita su complementación con otros medios (testimonios, libros contables, facturas, correos, etc.).Indicio grave, preciso y concordante cuando se acumula con otras pruebas del mismo tenor.</w:t>
      </w:r>
    </w:p>
    <w:p>
      <w:pPr>
        <w:pStyle w:val="[Normal]"/>
        <w:spacing w:line="360" w:lineRule="auto"/>
        <w:ind w:firstLine="1134"/>
        <w:jc w:val="both"/>
        <w:rPr>
          <w:lang w:val="es-AR" w:eastAsia="es-AR" w:bidi="es-AR"/>
        </w:rPr>
      </w:pPr>
      <w:r>
        <w:rPr>
          <w:lang w:val="es-AR" w:eastAsia="es-AR" w:bidi="es-AR"/>
        </w:rPr>
        <w:t xml:space="preserve">El art. 319 del Código Civil y Comercial sostiene que el valor probatorio de los instrumentos particulares debe ser apreciado por el juez ponderando, entre otras pautas, la congruencia entre lo sucedido y narrado, la precisión y claridad técnica del texto, los usos y prácticas del tráfico, las relaciones precedentes y la confiabilidad de los soportes utilizados y de los procedimientos técnicos que se apliquen. </w:t>
      </w:r>
    </w:p>
    <w:p>
      <w:pPr>
        <w:pStyle w:val="[Normal]"/>
        <w:spacing w:line="360" w:lineRule="auto"/>
        <w:ind w:firstLine="1134"/>
        <w:jc w:val="both"/>
        <w:rPr>
          <w:lang w:val="es-AR" w:eastAsia="es-AR" w:bidi="es-AR"/>
        </w:rPr>
      </w:pPr>
      <w:r>
        <w:rPr>
          <w:lang w:val="es-AR" w:eastAsia="es-AR" w:bidi="es-AR"/>
        </w:rPr>
        <w:t xml:space="preserve">En materia de contratos comerciales -compraventa, suministro, prestación de servicios-, los remitos son frecuentemente el único documento que acredita la efectiva entrega. El art. 1019 CCyC admite la prueba de los contratos por cualquier medio, y el art. 1020 exige para ciertos contratos que exista al menos un principio de prueba por escrito cuando no se puede demostrar de otra forma. El remito, aun no firmado, cumple esa función.</w:t>
      </w:r>
    </w:p>
    <w:p>
      <w:pPr>
        <w:pStyle w:val="[Normal]"/>
        <w:spacing w:line="360" w:lineRule="auto"/>
        <w:ind w:firstLine="1134"/>
        <w:jc w:val="both"/>
        <w:rPr>
          <w:lang w:val="es-AR" w:eastAsia="es-AR" w:bidi="es-AR"/>
        </w:rPr>
      </w:pPr>
      <w:r>
        <w:rPr>
          <w:lang w:val="es-AR" w:eastAsia="es-AR" w:bidi="es-AR"/>
        </w:rPr>
        <w:t xml:space="preserve">El Código Civil y Comercial de la Nación tiene una regulación normativa más amplia a la derogada, en aras a que las partes puedan disponer de mayores y más amplios medios probatorios llevando al juez la convicción sobre los hechos en debate, y para que el mismo pueda en base a los principios de sana crítica y máximas de experiencia llegar a la verdad objetiva del caso. </w:t>
      </w:r>
    </w:p>
    <w:p>
      <w:pPr>
        <w:pStyle w:val="[Normal]"/>
        <w:spacing w:line="360" w:lineRule="auto"/>
        <w:ind w:firstLine="1134"/>
        <w:jc w:val="both"/>
        <w:rPr>
          <w:lang w:val="es-AR" w:eastAsia="es-AR" w:bidi="es-AR"/>
        </w:rPr>
      </w:pPr>
      <w:r>
        <w:rPr>
          <w:lang w:val="es-AR" w:eastAsia="es-AR" w:bidi="es-AR"/>
        </w:rPr>
        <w:t xml:space="preserve">No dejo de señalar que la documentación respaldatoria del actor ha quedado reconocida por falta de controversia oportuna del deudor, quien pretende ahora reeditar cuestiones precluídas.</w:t>
      </w:r>
    </w:p>
    <w:p>
      <w:pPr>
        <w:pStyle w:val="[Normal]"/>
        <w:spacing w:line="360" w:lineRule="auto"/>
        <w:ind w:firstLine="1134"/>
        <w:jc w:val="both"/>
        <w:rPr>
          <w:lang w:val="es-AR" w:eastAsia="es-AR" w:bidi="es-AR"/>
        </w:rPr>
      </w:pPr>
      <w:r>
        <w:rPr>
          <w:lang w:val="es-AR" w:eastAsia="es-AR" w:bidi="es-AR"/>
        </w:rPr>
        <w:t xml:space="preserve">Frente a este análisis cabe ahora preguntarse sobre el punto también traído relativo a que los libros de contabilidad recogidos por la pericia no dan cuenta de dichas facturas o de su contenido.</w:t>
      </w:r>
    </w:p>
    <w:p>
      <w:pPr>
        <w:pStyle w:val="[Normal]"/>
        <w:spacing w:line="360" w:lineRule="auto"/>
        <w:ind w:firstLine="1134"/>
        <w:jc w:val="both"/>
        <w:rPr>
          <w:lang w:val="es-AR" w:eastAsia="es-AR" w:bidi="es-AR"/>
        </w:rPr>
      </w:pPr>
      <w:r>
        <w:rPr>
          <w:lang w:val="es-AR" w:eastAsia="es-AR" w:bidi="es-AR"/>
        </w:rPr>
        <w:t xml:space="preserve">En este punto he de señalar que el sistema normativo sustancial  regula la contabilidad en los arts. 320 a 331. Los libros llevados en legal forma tienen valor probatorio especial: según el art. 330, la contabilidad -obligatoria o voluntaria- debidamente llevada puede ser invocada como prueba a favor del propio comerciante. Cuando ambas partes llevan contabilidad, las constancias concordantes hacen plena prueba (art. 330, segundo párrafo).</w:t>
      </w:r>
    </w:p>
    <w:p>
      <w:pPr>
        <w:pStyle w:val="[Normal]"/>
        <w:spacing w:line="360" w:lineRule="auto"/>
        <w:ind w:firstLine="1134"/>
        <w:jc w:val="both"/>
        <w:rPr>
          <w:lang w:val="es-AR" w:eastAsia="es-AR" w:bidi="es-AR"/>
        </w:rPr>
      </w:pPr>
      <w:r>
        <w:rPr>
          <w:lang w:val="es-AR" w:eastAsia="es-AR" w:bidi="es-AR"/>
        </w:rPr>
        <w:t xml:space="preserve">La pericia contable es el medio procesal mediante el cual un experto analiza esos libros, registros y documentación respaldatoria (facturas, remitos, recibos) y dictamina sobre la situación contable relevante para el litigio. Su valor probatorio es alto pero no vinculante para el juez: es prueba pericial sujeta a la sana crítica (art. 477 CPCCN).</w:t>
      </w:r>
    </w:p>
    <w:p>
      <w:pPr>
        <w:pStyle w:val="[Normal]"/>
        <w:spacing w:line="360" w:lineRule="auto"/>
        <w:ind w:firstLine="1134"/>
        <w:jc w:val="both"/>
        <w:rPr>
          <w:lang w:val="es-AR" w:eastAsia="es-AR" w:bidi="es-AR"/>
        </w:rPr>
      </w:pPr>
      <w:r>
        <w:rPr>
          <w:lang w:val="es-AR" w:eastAsia="es-AR" w:bidi="es-AR"/>
        </w:rPr>
        <w:t xml:space="preserve">En el caso de la discordancia planteada remito vs pericia contable puntualmente el remito existe pero no lo reflejan los libros evidenciando una tensión probatoria particular, dicha ausencia de registro contable no destruye per se el valor del remito, pero sí genera una inconsistencia que el juez debe valorar. Y el aquo ha tenido en cuenta fundamentalmente la presunción dimanada de la rebeldía del accionado, quien no ha desconocido oportunamente ni la documentación ni la ausencia de la misma en la pericia contable, perdiendo eficacia el desconocimiento tardío o genérico de la documentación.</w:t>
      </w:r>
    </w:p>
    <w:p>
      <w:pPr>
        <w:pStyle w:val="[Normal]"/>
        <w:spacing w:line="360" w:lineRule="auto"/>
        <w:ind w:firstLine="1134"/>
        <w:jc w:val="both"/>
        <w:rPr>
          <w:lang w:val="es-AR" w:eastAsia="es-AR" w:bidi="es-AR"/>
        </w:rPr>
      </w:pPr>
      <w:r>
        <w:rPr>
          <w:lang w:val="es-AR" w:eastAsia="es-AR" w:bidi="es-AR"/>
        </w:rPr>
        <w:t xml:space="preserve">Los remitos desconocidos en forma genérica son admitidos usualmente como prueba indiciaria, cuyo peso depende de la conjunción con pericias, testimoniales e historia documental del vínculo comercial.</w:t>
      </w:r>
    </w:p>
    <w:p>
      <w:pPr>
        <w:pStyle w:val="[Normal]"/>
        <w:spacing w:line="360" w:lineRule="auto"/>
        <w:ind w:firstLine="1134"/>
        <w:jc w:val="both"/>
        <w:rPr>
          <w:lang w:val="es-AR" w:eastAsia="es-AR" w:bidi="es-AR"/>
        </w:rPr>
      </w:pPr>
      <w:r>
        <w:rPr>
          <w:lang w:val="es-AR" w:eastAsia="es-AR" w:bidi="es-AR"/>
        </w:rPr>
        <w:t xml:space="preserve">Como bien se ha dicho la prueba indiciaria es la prueba de la razón misma (Cám. Nac. Civ., sala E, 2/2/1977, ED, 73-503). Y es evidente que no ha existido problemas con la entrega de lo adquirido si se efectuaron adquisiciones  escalonadas en el tiempo.</w:t>
      </w:r>
    </w:p>
    <w:p>
      <w:pPr>
        <w:pStyle w:val="[Normal]"/>
        <w:spacing w:line="360" w:lineRule="auto"/>
        <w:ind w:firstLine="1134"/>
        <w:jc w:val="both"/>
        <w:rPr>
          <w:lang w:val="es-AR" w:eastAsia="es-AR" w:bidi="es-AR"/>
        </w:rPr>
      </w:pPr>
      <w:r>
        <w:rPr>
          <w:lang w:val="es-AR" w:eastAsia="es-AR" w:bidi="es-AR"/>
        </w:rPr>
        <w:t xml:space="preserve">No hallo tampoco vulneración del derecho de defensa como pretende el doliente, en tanto se ha respetado el principio de bilateralidad, de contradicción, de oportunidad, todo ello desaprovechado procesalmente por quien hoy pretende modificar lo decidido que le es adverso (art. 18 de la Constitución Nacional) </w:t>
      </w:r>
    </w:p>
    <w:p>
      <w:pPr>
        <w:pStyle w:val="[Normal]"/>
        <w:spacing w:line="360" w:lineRule="auto"/>
        <w:ind w:firstLine="1134"/>
        <w:jc w:val="both"/>
        <w:rPr>
          <w:lang w:val="es-AR" w:eastAsia="es-AR" w:bidi="es-AR"/>
        </w:rPr>
      </w:pPr>
      <w:r>
        <w:rPr>
          <w:lang w:val="es-AR" w:eastAsia="es-AR" w:bidi="es-AR"/>
        </w:rPr>
        <w:t xml:space="preserve">IV)</w:t>
      </w:r>
      <w:r>
        <w:rPr>
          <w:b/>
          <w:lang w:val="es-AR" w:eastAsia="es-AR" w:bidi="es-AR"/>
        </w:rPr>
        <w:t xml:space="preserve"> </w:t>
      </w:r>
      <w:r>
        <w:rPr>
          <w:lang w:val="es-AR" w:eastAsia="es-AR" w:bidi="es-AR"/>
        </w:rPr>
        <w:t xml:space="preserve">Sobre la tasa de interés, la demandada se agravia de la establecida en la sentencia de grado señalando que, tratándose de una obligación pactada en dólares estadounidenses, la aplicación de la tasa activa del Banco de la Provincia de Buenos Aires resulta improcedente y excesiva.</w:t>
      </w:r>
    </w:p>
    <w:p>
      <w:pPr>
        <w:pStyle w:val="[Normal]"/>
        <w:spacing w:line="360" w:lineRule="auto"/>
        <w:ind w:firstLine="1134"/>
        <w:jc w:val="both"/>
        <w:rPr>
          <w:lang w:val="es-AR" w:eastAsia="es-AR" w:bidi="es-AR"/>
        </w:rPr>
      </w:pPr>
      <w:r>
        <w:rPr>
          <w:lang w:val="es-AR" w:eastAsia="es-AR" w:bidi="es-AR"/>
        </w:rPr>
        <w:t xml:space="preserve">Debo adelantar que en este punto el agravio debe prosperar.</w:t>
      </w:r>
    </w:p>
    <w:p>
      <w:pPr>
        <w:pStyle w:val="[Normal]"/>
        <w:spacing w:line="360" w:lineRule="auto"/>
        <w:ind w:firstLine="1134"/>
        <w:jc w:val="both"/>
        <w:rPr>
          <w:lang w:val="es-AR" w:eastAsia="es-AR" w:bidi="es-AR"/>
        </w:rPr>
      </w:pPr>
      <w:r>
        <w:rPr>
          <w:lang w:val="es-AR" w:eastAsia="es-AR" w:bidi="es-AR"/>
        </w:rPr>
        <w:t xml:space="preserve">El CCyC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Asimismo, corresponde ponderar que la Suprema Corte de Justicia de la Provincia de Buenos Aires, al resolver la causa 123.306, “Penettieri, Estefanía c/ Cosentino, María Concepción y otro s/ Cumplimiento de contrato” (sent. del 25/11/2020), estableció que, tratándose de obligaciones dinerarias expresadas en dólares estadounidenses, la tasa de interés aplicable debe ser la tasa pasiva más alta correspondiente a depósitos bancarios constituidos en dicha moneda.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rFonts w:ascii="Arial" w:hAnsi="Arial" w:eastAsia="Arial" w:cs="Arial"/>
          <w:lang w:val="es-AR" w:eastAsia="es-AR" w:bidi="es-AR"/>
        </w:rPr>
      </w:pPr>
      <w:r>
        <w:rPr>
          <w:rFonts w:ascii="Arial" w:hAnsi="Arial" w:eastAsia="Arial" w:cs="Arial"/>
          <w:lang w:val="es-AR" w:eastAsia="es-AR" w:bidi="es-AR"/>
        </w:rPr>
        <w:t xml:space="preserve">Por lo tanto, la tasa activa fijada en la sentencia de grado no puede mantenerse, pues su aplicación respecto de una deuda expresada en dólares estadounidenses se aparta de los criterios establecidos por la Suprema Corte provincial para este tipo de obligaciones.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60" w:lineRule="auto"/>
        <w:ind w:firstLine="1134"/>
        <w:jc w:val="both"/>
        <w:rPr>
          <w:lang w:val="es-AR" w:eastAsia="es-AR" w:bidi="es-AR"/>
        </w:rPr>
      </w:pPr>
      <w:r>
        <w:rPr>
          <w:rFonts w:ascii="Arial" w:hAnsi="Arial" w:eastAsia="Arial" w:cs="Arial"/>
          <w:lang w:val="es-AR" w:eastAsia="es-AR" w:bidi="es-AR"/>
        </w:rPr>
        <w:t xml:space="preserve">Consecuentemente, propongo al Acuerdo modificar la sentencia apelada en este aspecto, estableciendo que el capital de condena devengará intereses desde la mora y hasta el efectivo pago a la tasa pasiva más alta para depósitos en dólares estadounidenses del Banco de la Provincia de Buenos Aires.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b/>
          <w:lang w:val="es-AR" w:eastAsia="es-AR" w:bidi="es-AR"/>
        </w:rPr>
      </w:pPr>
      <w:r>
        <w:rPr>
          <w:lang w:val="es-AR" w:eastAsia="es-AR" w:bidi="es-AR"/>
        </w:rPr>
        <w:t xml:space="preserve">Hacer lugar parcialmente al recurso de apelación de la parte demandada sólo en punto a la tasa de interés cuestionada, que se fija del modo descripto en los considerandos del presente.</w:t>
      </w:r>
    </w:p>
    <w:p>
      <w:pPr>
        <w:pStyle w:val="[Normal]"/>
        <w:spacing w:line="360" w:lineRule="auto"/>
        <w:ind w:firstLine="1134"/>
        <w:jc w:val="both"/>
        <w:rPr>
          <w:lang w:val="es-AR" w:eastAsia="es-AR" w:bidi="es-AR"/>
        </w:rPr>
      </w:pPr>
      <w:r>
        <w:rPr>
          <w:lang w:val="es-AR" w:eastAsia="es-AR" w:bidi="es-AR"/>
        </w:rPr>
        <w:t xml:space="preserve">Imponer las costas de Alzada en un 90% a cargo de la parte demandada, habida cuenta del progreso general de la acción por parte de la actora (art. 69/71 y ccs del CPCC).</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en autos liquidación de intereses y gastos (art. 51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de la parte demandada sólo en punto a la tasa de interés cuestionada, que se fija del modo descripto en los considerandos del presente.</w:t>
      </w:r>
    </w:p>
    <w:p>
      <w:pPr>
        <w:pStyle w:val="[Normal]"/>
        <w:spacing w:line="360" w:lineRule="auto"/>
        <w:ind w:firstLine="1134"/>
        <w:jc w:val="both"/>
        <w:rPr>
          <w:lang w:val="es-AR" w:eastAsia="es-AR" w:bidi="es-AR"/>
        </w:rPr>
      </w:pPr>
      <w:r>
        <w:rPr>
          <w:lang w:val="es-AR" w:eastAsia="es-AR" w:bidi="es-AR"/>
        </w:rPr>
        <w:t xml:space="preserve">Imponer las costas de Alzada en un 90% a cargo de la parte demandada, habida cuenta del progreso general de la acción por parte de la actora (art. 69/71 y ccs del CPCC).</w:t>
      </w:r>
    </w:p>
    <w:p>
      <w:pPr>
        <w:pStyle w:val="[Normal]"/>
        <w:spacing w:line="360" w:lineRule="auto"/>
        <w:ind w:firstLine="1134"/>
        <w:jc w:val="both"/>
        <w:rPr>
          <w:b/>
          <w:u w:val="single"/>
          <w:lang w:val="es-AR" w:eastAsia="es-AR" w:bidi="es-AR"/>
        </w:rPr>
      </w:pPr>
      <w:r>
        <w:rPr>
          <w:lang w:val="es-AR" w:eastAsia="es-AR" w:bidi="es-AR"/>
        </w:rPr>
        <w:t xml:space="preserve">Diferir la regulación de honorarios de letrados y peritos hasta tanto obre en autos liquidación de intereses y gastos (art. 51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23253119039@NOTIFICACIONES.SCBA.GOV.AR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20303441698@NOTIFICACIONES.SCBA.GOV.AR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10:13:17 -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10:27:54 -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11:25:58 -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‰7h")è&amp;};@_Š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237202090006932732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11/06/2026 11:26:16 hs. bajo el número RS-99-2026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U">
    <w:name w:val="U"/>
    <w:qFormat/>
    <w:rPr>
      <w:u w:val="single"/>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