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6066-26</w:t>
      </w:r>
      <w:r>
        <w:rPr>
          <w:lang w:val="es-AR" w:eastAsia="es-AR" w:bidi="es-AR"/>
        </w:rPr>
        <w:t xml:space="preserve"> caratulada </w:t>
      </w:r>
      <w:r>
        <w:rPr>
          <w:b/>
          <w:lang w:val="es-AR" w:eastAsia="es-AR" w:bidi="es-AR"/>
        </w:rPr>
        <w:t xml:space="preserve">"</w:t>
      </w:r>
      <w:r>
        <w:rPr>
          <w:b/>
          <w:color w:val="000000"/>
          <w:lang w:val="es-AR" w:eastAsia="es-AR" w:bidi="es-AR"/>
        </w:rPr>
        <w:t xml:space="preserve">BANCO DE GALICIA Y BUENOS AIRES SA  C/ RAPALIN JUAN OSCAR S/ ACCION DE SECUESTRO (ART.39 LEY 12962)</w:t>
      </w:r>
      <w:r>
        <w:rPr>
          <w:b/>
          <w:lang w:val="es-AR" w:eastAsia="es-AR" w:bidi="es-AR"/>
        </w:rPr>
        <w:t xml:space="preserve">"</w:t>
      </w:r>
      <w:r>
        <w:rPr>
          <w:lang w:val="es-AR" w:eastAsia="es-AR" w:bidi="es-AR"/>
        </w:rPr>
        <w:t xml:space="preserve">, Expte. </w:t>
      </w:r>
      <w:r>
        <w:rPr>
          <w:color w:val="000000"/>
          <w:lang w:val="es-AR" w:eastAsia="es-AR" w:bidi="es-AR"/>
        </w:rPr>
        <w:t xml:space="preserve">81.011</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el decisorio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en lo que aquí interesa, rechazó los planteos realizados por el Sr. Ezequiel Bernabé Elias, quien actúa como tercero interesado.-</w:t>
      </w:r>
    </w:p>
    <w:p>
      <w:pPr>
        <w:pStyle w:val="[Normal]"/>
        <w:spacing w:line="360" w:lineRule="auto"/>
        <w:ind w:firstLine="1134"/>
        <w:jc w:val="both"/>
        <w:rPr>
          <w:lang w:val="es-AR" w:eastAsia="es-AR" w:bidi="es-AR"/>
        </w:rPr>
      </w:pPr>
      <w:r>
        <w:rPr>
          <w:lang w:val="es-AR" w:eastAsia="es-AR" w:bidi="es-AR"/>
        </w:rPr>
        <w:t xml:space="preserve">Para así decidir, consideró que las presentes actuaciones tenían por único objeto el secuestro del vehículo prendado y que dicho trámite se encontraba agotado con el cumplimiento de la medida ordenada. Asimismo, dispuso que el compareciente debía canalizar las pretensiones introducidas mediante la promoción de la acción que estimara pertinente.-</w:t>
      </w:r>
    </w:p>
    <w:p>
      <w:pPr>
        <w:pStyle w:val="[Normal]"/>
        <w:spacing w:line="360" w:lineRule="auto"/>
        <w:ind w:firstLine="1134"/>
        <w:jc w:val="both"/>
        <w:rPr>
          <w:lang w:val="es-AR" w:eastAsia="es-AR" w:bidi="es-AR"/>
        </w:rPr>
      </w:pPr>
      <w:r>
        <w:rPr>
          <w:lang w:val="es-AR" w:eastAsia="es-AR" w:bidi="es-AR"/>
        </w:rPr>
        <w:t xml:space="preserve">Disconforme con lo resuelto interpuso recurso de reposición con apelación en subsidio Ezequiel Bernabé Elias el día 19-4-2026 quién lo funda en el mismo acto, habiendo la actora evacuado el traslado conferido en fecha 24-4-2026.-</w:t>
      </w:r>
    </w:p>
    <w:p>
      <w:pPr>
        <w:pStyle w:val="[Normal]"/>
        <w:spacing w:line="360" w:lineRule="auto"/>
        <w:ind w:firstLine="1134"/>
        <w:jc w:val="both"/>
        <w:rPr>
          <w:lang w:val="es-AR" w:eastAsia="es-AR" w:bidi="es-AR"/>
        </w:rPr>
      </w:pPr>
      <w:r>
        <w:rPr>
          <w:lang w:val="es-AR" w:eastAsia="es-AR" w:bidi="es-AR"/>
        </w:rPr>
        <w:t xml:space="preserve">Elevados los autos a esta Alzada, con fecha 30-4-2026 se dictó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apelante se agravia de la providencia que declaró agotado el trámite de secuestro prendario y la remitió a ocurrir por una nueva vía procesal, sosteniendo en primer término, que dicha decisión contradice el proveído de fecha 09/04/2026 mediante el cual el juzgado había anticipado que, una vez agregado el mandamiento respectivo, resolvería las peticiones pendientes. Afirma que pese al cumplimiento de dicha carga el magistrado omitió expedirse sobre los planteos oportunamente formulados.</w:t>
      </w:r>
    </w:p>
    <w:p>
      <w:pPr>
        <w:pStyle w:val="[Normal]"/>
        <w:spacing w:line="360" w:lineRule="auto"/>
        <w:ind w:firstLine="1134"/>
        <w:jc w:val="both"/>
        <w:rPr>
          <w:lang w:val="es-AR" w:eastAsia="es-AR" w:bidi="es-AR"/>
        </w:rPr>
      </w:pPr>
      <w:r>
        <w:rPr>
          <w:lang w:val="es-AR" w:eastAsia="es-AR" w:bidi="es-AR"/>
        </w:rPr>
        <w:t xml:space="preserve">Asimismo, cuestiona la falta de tratamiento de las medidas cautelares requeridas particularmente la suspensión de todo acto de disposición sobre el vehículo, la sustitución del depositario judicial y demás peticiones vinculadas a la conservación del bien. Sostiene que tales cuestiones conservaban autonomía y exigían un pronunciamiento expreso, aun cuando se considerara concluido el trámite previsto por el art. 39 del régimen de prenda con registro.</w:t>
      </w:r>
    </w:p>
    <w:p>
      <w:pPr>
        <w:pStyle w:val="[Normal]"/>
        <w:spacing w:line="360" w:lineRule="auto"/>
        <w:ind w:firstLine="1134"/>
        <w:jc w:val="both"/>
        <w:rPr>
          <w:lang w:val="es-AR" w:eastAsia="es-AR" w:bidi="es-AR"/>
        </w:rPr>
      </w:pPr>
      <w:r>
        <w:rPr>
          <w:lang w:val="es-AR" w:eastAsia="es-AR" w:bidi="es-AR"/>
        </w:rPr>
        <w:t xml:space="preserve">Alega, además, que la decisión recurrida la coloca en estado de indefensión frente al riesgo de venta extrajudicial del automotor y a la generación de gastos de depósito que ocasionan un perjuicio patrimonial progresivo, circunstancias que evidenciarían la existencia de peligro en la demora. Añade que la acreedora habría omitido informar antecedentes relevantes vinculados con acuerdos de pago celebrados con el poseedor del vehículo, extremo que invoca como sustento de la verosimilitud de su derecho.</w:t>
      </w:r>
    </w:p>
    <w:p>
      <w:pPr>
        <w:pStyle w:val="[Normal]"/>
        <w:spacing w:line="360" w:lineRule="auto"/>
        <w:ind w:firstLine="1134"/>
        <w:jc w:val="both"/>
        <w:rPr>
          <w:lang w:val="es-AR" w:eastAsia="es-AR" w:bidi="es-AR"/>
        </w:rPr>
      </w:pPr>
      <w:r>
        <w:rPr>
          <w:lang w:val="es-AR" w:eastAsia="es-AR" w:bidi="es-AR"/>
        </w:rPr>
        <w:t xml:space="preserve">Sostiene que la resolución impugnada le ocasiona un gravamen irreparable, en tanto la eventual enajenación del bien podría tornar abstracta cualquier decisión posterior favorable a sus pretensiones.</w:t>
      </w:r>
    </w:p>
    <w:p>
      <w:pPr>
        <w:pStyle w:val="[Normal]"/>
        <w:spacing w:line="360" w:lineRule="auto"/>
        <w:ind w:firstLine="1134"/>
        <w:jc w:val="both"/>
        <w:rPr>
          <w:lang w:val="es-AR" w:eastAsia="es-AR" w:bidi="es-AR"/>
        </w:rPr>
      </w:pPr>
      <w:r>
        <w:rPr>
          <w:lang w:val="es-AR" w:eastAsia="es-AR" w:bidi="es-AR"/>
        </w:rPr>
        <w:t xml:space="preserve"> Solicita la revocación de lo decidido y el dictado de medidas tendientes a preservar el vehículo hasta la resolución definitiva de la controversia.-</w:t>
      </w:r>
    </w:p>
    <w:p>
      <w:pPr>
        <w:pStyle w:val="[Normal]"/>
        <w:spacing w:line="360" w:lineRule="auto"/>
        <w:ind w:firstLine="1134"/>
        <w:jc w:val="both"/>
        <w:rPr>
          <w:lang w:val="es-AR" w:eastAsia="es-AR" w:bidi="es-AR"/>
        </w:rPr>
      </w:pPr>
      <w:r>
        <w:rPr>
          <w:lang w:val="es-AR" w:eastAsia="es-AR" w:bidi="es-AR"/>
        </w:rPr>
        <w:t xml:space="preserve">A su turno la actora rebate los argumentos esgrimidos por el recurrente y solicita se rechace el recurso de apelación.-</w:t>
      </w:r>
    </w:p>
    <w:p>
      <w:pPr>
        <w:pStyle w:val="[Normal]"/>
        <w:spacing w:line="360" w:lineRule="auto"/>
        <w:ind w:firstLine="1134"/>
        <w:jc w:val="both"/>
        <w:rPr>
          <w:lang w:val="es-AR" w:eastAsia="es-AR" w:bidi="es-AR"/>
        </w:rPr>
      </w:pPr>
      <w:r>
        <w:rPr>
          <w:lang w:val="es-AR" w:eastAsia="es-AR" w:bidi="es-AR"/>
        </w:rPr>
        <w:t xml:space="preserve">Entrando a resolver,  del análisis de la pieza recursiva ensayada surge que la queja del apelante se estructura sobre tres ejes argumentales: 1) la alegada contradicción del proveído apelado con una decisión anterior del juzgado, 2) la denunciada omisión de tratamiento de determinados planteos cautelares y 3) la necesidad de una tutela urgente frente a los perjuicios que afirma padecer.</w:t>
      </w:r>
    </w:p>
    <w:p>
      <w:pPr>
        <w:pStyle w:val="[Normal]"/>
        <w:spacing w:line="360" w:lineRule="auto"/>
        <w:ind w:firstLine="1134"/>
        <w:jc w:val="both"/>
        <w:rPr>
          <w:lang w:val="es-AR" w:eastAsia="es-AR" w:bidi="es-AR"/>
        </w:rPr>
      </w:pPr>
      <w:r>
        <w:rPr>
          <w:lang w:val="es-AR" w:eastAsia="es-AR" w:bidi="es-AR"/>
        </w:rPr>
        <w:t xml:space="preserve">Por razones de orden metodológico, los agravios serán examinados en el orden en que fueron propuestos, adelantando que ninguno de ellos logra desvirtuar los fundamentos de la resolución recurrida.</w:t>
      </w:r>
    </w:p>
    <w:p>
      <w:pPr>
        <w:pStyle w:val="[Normal]"/>
        <w:spacing w:line="360" w:lineRule="auto"/>
        <w:ind w:firstLine="1134"/>
        <w:jc w:val="both"/>
        <w:rPr>
          <w:lang w:val="es-AR" w:eastAsia="es-AR" w:bidi="es-AR"/>
        </w:rPr>
      </w:pPr>
      <w:r>
        <w:rPr>
          <w:lang w:val="es-AR" w:eastAsia="es-AR" w:bidi="es-AR"/>
        </w:rPr>
        <w:t xml:space="preserve">Como consideración preliminar, cabe señalar que el procedimiento previsto por el art. 39 de la Ley de Prenda con Registro posee un objeto estrictamente delimitado, consistente en posibilitar el secuestro del bien prendado para su posterior realización extrajudicial. Se trata de un trámite especial que no constituye un proceso de ejecución ni habilita un ámbito de conocimiento amplio para el tratamiento de cuestiones controvertidas ajenas a esa finalidad. En consecuencia, el órgano jurisdiccional carece de facultades para introducir dentro de dicho procedimiento debates que excedan el limitado objeto legalmente asignado, aun cuando tales planteos hubieran sido formulados antes de tenerse por cumplida la medida.</w:t>
      </w:r>
    </w:p>
    <w:p>
      <w:pPr>
        <w:pStyle w:val="[Normal]"/>
        <w:spacing w:line="360" w:lineRule="auto"/>
        <w:ind w:firstLine="1134"/>
        <w:jc w:val="both"/>
        <w:rPr>
          <w:lang w:val="es-AR" w:eastAsia="es-AR" w:bidi="es-AR"/>
        </w:rPr>
      </w:pPr>
      <w:r>
        <w:rPr>
          <w:lang w:val="es-AR" w:eastAsia="es-AR" w:bidi="es-AR"/>
        </w:rPr>
        <w:t xml:space="preserve">En cuanto al primer agravio, referido a la supuesta contradicción entre los proveídos de fechas 9/04/2026 y 15/04/2026, la expresión utilizada por el juzgado al disponer que, una vez agregado el mandamiento librado el 20/03/2026, </w:t>
      </w:r>
      <w:r>
        <w:rPr>
          <w:i/>
          <w:lang w:val="es-AR" w:eastAsia="es-AR" w:bidi="es-AR"/>
        </w:rPr>
        <w:t xml:space="preserve">"se proveerá lo que por derecho corresponda"</w:t>
      </w:r>
      <w:r>
        <w:rPr>
          <w:lang w:val="es-AR" w:eastAsia="es-AR" w:bidi="es-AR"/>
        </w:rPr>
        <w:t xml:space="preserve">, constituye una fórmula habitual mediante la cual el órgano jurisdiccional difiere la adopción de la decisión que estime jurídicamente procedente una vez reunidos los antecedentes necesarios para resolver. De ningún modo implica el compromiso de emitir un pronunciamiento favorable ni siquiera de ingresar necesariamente al examen sustancial de todas las peticiones formuladas.</w:t>
      </w:r>
    </w:p>
    <w:p>
      <w:pPr>
        <w:pStyle w:val="[Normal]"/>
        <w:spacing w:line="360" w:lineRule="auto"/>
        <w:ind w:firstLine="1134"/>
        <w:jc w:val="both"/>
        <w:rPr>
          <w:lang w:val="es-AR" w:eastAsia="es-AR" w:bidi="es-AR"/>
        </w:rPr>
      </w:pPr>
      <w:r>
        <w:rPr>
          <w:lang w:val="es-AR" w:eastAsia="es-AR" w:bidi="es-AR"/>
        </w:rPr>
        <w:t xml:space="preserve">Precisamente, una vez agregado el mandamiento, el magistrado evaluó el estado procesal de las actuaciones y concluyó que el procedimiento especial había cumplido íntegramente la finalidad prevista por la ley, declarando agotado el trámite. Esa decisión constituye, justamente, el pronunciamiento que entendió ajustado a derecho frente al estado de la causa.</w:t>
      </w:r>
    </w:p>
    <w:p>
      <w:pPr>
        <w:pStyle w:val="[Normal]"/>
        <w:spacing w:line="360" w:lineRule="auto"/>
        <w:ind w:firstLine="1134"/>
        <w:jc w:val="both"/>
        <w:rPr>
          <w:lang w:val="es-AR" w:eastAsia="es-AR" w:bidi="es-AR"/>
        </w:rPr>
      </w:pPr>
      <w:r>
        <w:rPr>
          <w:lang w:val="es-AR" w:eastAsia="es-AR" w:bidi="es-AR"/>
        </w:rPr>
        <w:t xml:space="preserve">Por consiguiente, no se advierte vulneración alguna al principio de confianza legítima, a la doctrina de los actos propios ni a regla procesal alguna.</w:t>
      </w:r>
    </w:p>
    <w:p>
      <w:pPr>
        <w:pStyle w:val="[Normal]"/>
        <w:spacing w:line="360" w:lineRule="auto"/>
        <w:ind w:firstLine="1134"/>
        <w:jc w:val="both"/>
        <w:rPr>
          <w:lang w:val="es-AR" w:eastAsia="es-AR" w:bidi="es-AR"/>
        </w:rPr>
      </w:pPr>
      <w:r>
        <w:rPr>
          <w:lang w:val="es-AR" w:eastAsia="es-AR" w:bidi="es-AR"/>
        </w:rPr>
        <w:t xml:space="preserve">Tampoco puede prosperar el segundo agravio, mediante el cual el recurrente sostiene que el juzgado debió expedirse sobre los pedidos de suspensión de actos de disposición del vehículo, sustitución del depositario judicial y demás medidas accesorias. Tales planteos exceden manifiestamente el objeto propio del procedimiento especial previsto por el art. 39 de la Ley de Prenda con Registro.</w:t>
      </w:r>
    </w:p>
    <w:p>
      <w:pPr>
        <w:pStyle w:val="[Normal]"/>
        <w:spacing w:line="360" w:lineRule="auto"/>
        <w:ind w:firstLine="1134"/>
        <w:jc w:val="both"/>
        <w:rPr>
          <w:lang w:val="es-AR" w:eastAsia="es-AR" w:bidi="es-AR"/>
        </w:rPr>
      </w:pPr>
      <w:r>
        <w:rPr>
          <w:lang w:val="es-AR" w:eastAsia="es-AR" w:bidi="es-AR"/>
        </w:rPr>
        <w:t xml:space="preserve">En efecto, la pretensión de cuestionar la legitimidad del secuestro ya efectuado, revisar la designación de depositarios, discutir derechos posesorios, denunciar supuestos fraudes procesales o procurar medidas cautelares destinadas a impedir actos posteriores del acreedor involucra materias cuya resolución exige determinar circunstancias fácticas controvertidas, establecer el alcance de relaciones jurídicas entre distintos sujetos y, eventualmente, producir prueba. Tales extremos resultan incompatibles con el limitado ámbito cognoscitivo del procedimiento aquí transitado, cuyo objeto se encuentra legalmente circunscripto al secuestro del bien prendado.</w:t>
      </w:r>
    </w:p>
    <w:p>
      <w:pPr>
        <w:pStyle w:val="[Normal]"/>
        <w:spacing w:line="360" w:lineRule="auto"/>
        <w:ind w:firstLine="1134"/>
        <w:jc w:val="both"/>
        <w:rPr>
          <w:lang w:val="es-AR" w:eastAsia="es-AR" w:bidi="es-AR"/>
        </w:rPr>
      </w:pPr>
      <w:r>
        <w:rPr>
          <w:lang w:val="es-AR" w:eastAsia="es-AR" w:bidi="es-AR"/>
        </w:rPr>
        <w:t xml:space="preserve">Al respecto tiene dicho la jurisprudencia que "</w:t>
      </w:r>
      <w:r>
        <w:rPr>
          <w:i/>
          <w:lang w:val="es-AR" w:eastAsia="es-AR" w:bidi="es-AR"/>
        </w:rPr>
        <w:t xml:space="preserve">Abordando la tarea decisoria, sabido es que el secuestro prendario previsto en el artículo 39 del decreto ley 15.348/46, ratificado por ley 12.962, es un procedimiento especial que no implica la iniciación de un juicio de ejecución. La norma restringe la actuación del tribunal a la simple actividad procesal coadyuvante del proceso privado, a fin de que la acreedora obtenga la posesión del bien gravado para poder así subastarlo. Frente a dicho procedimiento, al deudor no le caben recursos, pues de admitirse producirían actuaciones judiciales que importarían un verdadero proceso y se desvirtuaría el propósito del legislador de procurar la rapidez de la ejecución y venta extrajudicial del bien (CC0203 LP 122862 RSI-11-18 I 15/02/2018, en autos caratulados: "Bacs Banco De Crédito Y Securitizacion S.A C/ Lezana Sergio Ariel S/ Acción De Secuestro (Art.39 Ley 12962)"</w:t>
      </w:r>
      <w:r>
        <w:rPr>
          <w:lang w:val="es-AR" w:eastAsia="es-AR" w:bidi="es-AR"/>
        </w:rPr>
        <w:t xml:space="preserve">" (CC0002 QL 27158 RR-553 I 28/12/2023 JUBA B5089435).-</w:t>
      </w:r>
    </w:p>
    <w:p>
      <w:pPr>
        <w:pStyle w:val="[Normal]"/>
        <w:spacing w:line="360" w:lineRule="auto"/>
        <w:ind w:firstLine="1134"/>
        <w:jc w:val="both"/>
        <w:rPr>
          <w:lang w:val="es-AR" w:eastAsia="es-AR" w:bidi="es-AR"/>
        </w:rPr>
      </w:pPr>
      <w:r>
        <w:rPr>
          <w:lang w:val="es-AR" w:eastAsia="es-AR" w:bidi="es-AR"/>
        </w:rPr>
        <w:t xml:space="preserve">Por ello, la indicación formulada por el magistrado de ocurrir por la vía pertinente no configura una denegación de justicia sino la remisión al procedimiento idóneo para el tratamiento de las pretensiones articuladas, con plena observancia del principio de contradicción y del derecho de defensa de todas las personas eventualmente involucradas.</w:t>
      </w:r>
    </w:p>
    <w:p>
      <w:pPr>
        <w:pStyle w:val="[Normal]"/>
        <w:spacing w:line="360" w:lineRule="auto"/>
        <w:ind w:firstLine="1134"/>
        <w:jc w:val="both"/>
        <w:rPr>
          <w:lang w:val="es-AR" w:eastAsia="es-AR" w:bidi="es-AR"/>
        </w:rPr>
      </w:pPr>
      <w:r>
        <w:rPr>
          <w:lang w:val="es-AR" w:eastAsia="es-AR" w:bidi="es-AR"/>
        </w:rPr>
        <w:t xml:space="preserve">Asimismo, la circunstancia de que el presente procedimiento no constituya un cauce apto para resolver los planteos introducidos no impide que el interesado promueva la acción que estime pertinente y solicite, en ese marco, las medidas cautelares que considere necesarias, cuya procedencia deberá ser evaluada por el órgano jurisdiccional competente conforme a los presupuestos propios de esa tutela.</w:t>
      </w:r>
    </w:p>
    <w:p>
      <w:pPr>
        <w:pStyle w:val="[Normal]"/>
        <w:spacing w:line="360" w:lineRule="auto"/>
        <w:ind w:firstLine="1134"/>
        <w:jc w:val="both"/>
        <w:rPr>
          <w:lang w:val="es-AR" w:eastAsia="es-AR" w:bidi="es-AR"/>
        </w:rPr>
      </w:pPr>
      <w:r>
        <w:rPr>
          <w:lang w:val="es-AR" w:eastAsia="es-AR" w:bidi="es-AR"/>
        </w:rPr>
        <w:t xml:space="preserve">Finalmente, tampoco se configura el gravamen irreparable invocado.</w:t>
      </w:r>
    </w:p>
    <w:p>
      <w:pPr>
        <w:pStyle w:val="[Normal]"/>
        <w:spacing w:line="360" w:lineRule="auto"/>
        <w:ind w:firstLine="1134"/>
        <w:jc w:val="both"/>
        <w:rPr>
          <w:lang w:val="es-AR" w:eastAsia="es-AR" w:bidi="es-AR"/>
        </w:rPr>
      </w:pPr>
      <w:r>
        <w:rPr>
          <w:lang w:val="es-AR" w:eastAsia="es-AR" w:bidi="es-AR"/>
        </w:rPr>
        <w:t xml:space="preserve">La resolución apelada no decide sobre la existencia, alcance o extinción de los derechos que el compareciente afirma ostentar sino que se limita a declarar agotado el procedimiento especial de secuestro prendario por haberse cumplido la finalidad prevista por el art. 39 de la Ley de Prenda con Registro.</w:t>
      </w:r>
    </w:p>
    <w:p>
      <w:pPr>
        <w:pStyle w:val="[Normal]"/>
        <w:spacing w:line="360" w:lineRule="auto"/>
        <w:ind w:firstLine="1134"/>
        <w:jc w:val="both"/>
        <w:rPr>
          <w:lang w:val="es-AR" w:eastAsia="es-AR" w:bidi="es-AR"/>
        </w:rPr>
      </w:pPr>
      <w:r>
        <w:rPr>
          <w:lang w:val="es-AR" w:eastAsia="es-AR" w:bidi="es-AR"/>
        </w:rPr>
        <w:t xml:space="preserve">Lejos de impedir el acceso a la jurisdicción, la providencia expresamente deja expedita la posibilidad de canalizar los reclamos mediante el proceso que corresponda, donde podrán debatirse, con la amplitud propia de ese marco procesal, las cuestiones vinculadas con los pagos invocados, las relaciones de consumo alegadas, las nulidades que eventualmente se pretendan hacer valer, los supuestos abusos contractuales denunciados y las medidas cautelares que se estimen pertinentes, sin que la conclusión del presente trámite importe prejuzgamiento alguno sobre tales materias.</w:t>
      </w:r>
    </w:p>
    <w:p>
      <w:pPr>
        <w:pStyle w:val="[Normal]"/>
        <w:spacing w:line="360" w:lineRule="auto"/>
        <w:ind w:firstLine="1134"/>
        <w:jc w:val="both"/>
        <w:rPr>
          <w:b/>
          <w:lang w:val="es-AR" w:eastAsia="es-AR" w:bidi="es-AR"/>
        </w:rPr>
      </w:pPr>
      <w:r>
        <w:rPr>
          <w:lang w:val="es-AR" w:eastAsia="es-AR" w:bidi="es-AR"/>
        </w:rPr>
        <w:t xml:space="preserve">En definitiva, la circunstancia de que el procedimiento especial no constituya un cauce apto para el tratamiento de las pretensiones deducidas no implica desconocer los derechos que el compareciente invoca sino únicamente exigir que éstos sean canalizados mediante el proceso que, por su estructura y amplitud de debate, permita su adecuada consideración con pleno resguardo del derecho de defensa de todas las personas involucradas.</w:t>
      </w:r>
    </w:p>
    <w:p>
      <w:pPr>
        <w:pStyle w:val="[Normal]"/>
        <w:spacing w:line="360" w:lineRule="auto"/>
        <w:ind w:firstLine="1134"/>
        <w:jc w:val="both"/>
        <w:rPr>
          <w:lang w:val="es-AR" w:eastAsia="es-AR" w:bidi="es-AR"/>
        </w:rPr>
      </w:pPr>
      <w:r>
        <w:rPr>
          <w:lang w:val="es-AR" w:eastAsia="es-AR" w:bidi="es-AR"/>
        </w:rPr>
        <w:t xml:space="preserve">Por todo lo expuesto, propongo al Acuerdo rechazar el recurso de apelación deducido y en consecuencia confirmar la providencia atacada.-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subsidiariamente interpuesto por Ezequiel Bernabé Elias y en consecuencia confirmar el proveído de fecha 15/04/2026.-</w:t>
      </w:r>
    </w:p>
    <w:p>
      <w:pPr>
        <w:pStyle w:val="[Normal]"/>
        <w:spacing w:line="360" w:lineRule="auto"/>
        <w:ind w:firstLine="1134"/>
        <w:jc w:val="both"/>
        <w:rPr>
          <w:lang w:val="es-AR" w:eastAsia="es-AR" w:bidi="es-AR"/>
        </w:rPr>
      </w:pPr>
      <w:r>
        <w:rPr>
          <w:lang w:val="es-AR" w:eastAsia="es-AR" w:bidi="es-AR"/>
        </w:rPr>
        <w:t xml:space="preserve">Imponer las costas de Alzada al apelante perdidoso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subsidiariamente interpuesto por Ezequiel Bernabé Elias y en consecuencia confirmar el proveído de fecha 15/04/2026.-</w:t>
      </w:r>
    </w:p>
    <w:p>
      <w:pPr>
        <w:pStyle w:val="[Normal]"/>
        <w:spacing w:line="360" w:lineRule="auto"/>
        <w:ind w:firstLine="1134"/>
        <w:jc w:val="both"/>
        <w:rPr>
          <w:lang w:val="es-AR" w:eastAsia="es-AR" w:bidi="es-AR"/>
        </w:rPr>
      </w:pPr>
      <w:r>
        <w:rPr>
          <w:lang w:val="es-AR" w:eastAsia="es-AR" w:bidi="es-AR"/>
        </w:rPr>
        <w:t xml:space="preserve">Imponer las costas de Alzada al apelante perdidoso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20219805579@NOTIFICACIONES.SCBA.GOV.AR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20261847575@NOTIFICACIONES.SCBA.GOV.AR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10:01:17 -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10:14:51 -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10:16:14 -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‰81")è&amp;};(OŠ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241702090006932708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30/06/2026 10:16:24 hs. bajo el número RS-110-2026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