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6042-26</w:t>
      </w:r>
      <w:r>
        <w:rPr>
          <w:lang w:val="es-AR" w:eastAsia="es-AR" w:bidi="es-AR"/>
        </w:rPr>
        <w:t xml:space="preserve"> caratulada </w:t>
      </w:r>
      <w:r>
        <w:rPr>
          <w:b/>
          <w:lang w:val="es-AR" w:eastAsia="es-AR" w:bidi="es-AR"/>
        </w:rPr>
        <w:t xml:space="preserve">"</w:t>
      </w:r>
      <w:r>
        <w:rPr>
          <w:b/>
          <w:color w:val="000000"/>
          <w:lang w:val="es-AR" w:eastAsia="es-AR" w:bidi="es-AR"/>
        </w:rPr>
        <w:t xml:space="preserve">RODRIGUEZ ROGELIO IVAN C/ RAFADA S.A.  Y OTROS S/ DAÑOS Y PERJ. AUTOM. S/LESIONES (EXC. ESTADO)</w:t>
      </w:r>
      <w:r>
        <w:rPr>
          <w:b/>
          <w:lang w:val="es-AR" w:eastAsia="es-AR" w:bidi="es-AR"/>
        </w:rPr>
        <w:t xml:space="preserve">"</w:t>
      </w:r>
      <w:r>
        <w:rPr>
          <w:lang w:val="es-AR" w:eastAsia="es-AR" w:bidi="es-AR"/>
        </w:rPr>
        <w:t xml:space="preserve">, Expte. </w:t>
      </w:r>
      <w:r>
        <w:rPr>
          <w:color w:val="000000"/>
          <w:lang w:val="es-AR" w:eastAsia="es-AR" w:bidi="es-AR"/>
        </w:rPr>
        <w:t xml:space="preserve">90.434</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rechazó la demanda deducida por el actor. Aplicó las costas al mismo que resulta vencido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20-3-2026 por la parte actora, concedido libremente y con efecto suspensivo en la misma fecha. </w:t>
      </w:r>
    </w:p>
    <w:p>
      <w:pPr>
        <w:pStyle w:val="[Normal]"/>
        <w:spacing w:line="360" w:lineRule="auto"/>
        <w:ind w:firstLine="1134"/>
        <w:jc w:val="both"/>
        <w:rPr>
          <w:lang w:val="es-AR" w:eastAsia="es-AR" w:bidi="es-AR"/>
        </w:rPr>
      </w:pPr>
      <w:r>
        <w:rPr>
          <w:lang w:val="es-AR" w:eastAsia="es-AR" w:bidi="es-AR"/>
        </w:rPr>
        <w:t xml:space="preserve">Elevados los autos a esta Alzada con fecha 14-4-2026 se ordenó expresar agravios a la parte actora, quien el 27-4-2026 los fundó y del mismo traslado a la contraparte. El día 29-4-2026 fue evacuado dicho traslado por la parte demandada. Con fecha 5-5-2026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1) Antecedentes: La sentencia dictada por la Sra. Jueza a cargo del Juzgado Civil y Comercial N° 2 de Pergamino de fecha 16 de marzo de 2026 rechazó íntegramente la demanda promovida por Rogelio Iván Rodriguez contra Rafada S. A., Facundo Serra y la aseguradora citada en garantía Seguros Bernardino Rivadavia Coop. Ltda., con costas al actor vencido.</w:t>
      </w:r>
    </w:p>
    <w:p>
      <w:pPr>
        <w:pStyle w:val="[Normal]"/>
        <w:spacing w:line="360" w:lineRule="auto"/>
        <w:ind w:firstLine="1134"/>
        <w:jc w:val="both"/>
        <w:rPr>
          <w:lang w:val="es-AR" w:eastAsia="es-AR" w:bidi="es-AR"/>
        </w:rPr>
      </w:pPr>
      <w:r>
        <w:rPr>
          <w:lang w:val="es-AR" w:eastAsia="es-AR" w:bidi="es-AR"/>
        </w:rPr>
        <w:t xml:space="preserve">Para decidir de ese modo, la magistrada de grado aplicó la regla de prioridad de paso consagrada en el art. 41 de la Ley 24.449, considerando que la misma es absoluta y que el vehículo conducido por el demandado Serra -que circulaba por calle Solís en dirección oeste-este- tenía preferencia de paso respecto del rodado del actor, que lo hacía por calle Francia en sentido norte-sur. Sostuvo que la sola circunstancia de haber avanzado parcialmente en la intersección no bastaba para desplazar la referida prioridad, y desestimó el testimonio de Iván Ariel Florance por no ser presencial del hecho. Con esos fundamentos, rechazó la acción.</w:t>
      </w:r>
    </w:p>
    <w:p>
      <w:pPr>
        <w:pStyle w:val="[Normal]"/>
        <w:spacing w:line="360" w:lineRule="auto"/>
        <w:ind w:firstLine="1134"/>
        <w:jc w:val="both"/>
        <w:rPr>
          <w:lang w:val="es-AR" w:eastAsia="es-AR" w:bidi="es-AR"/>
        </w:rPr>
      </w:pPr>
      <w:r>
        <w:rPr>
          <w:lang w:val="es-AR" w:eastAsia="es-AR" w:bidi="es-AR"/>
        </w:rPr>
        <w:t xml:space="preserve">2) La parte actora se apontoca en  tres agravios sustanciales:</w:t>
      </w:r>
    </w:p>
    <w:p>
      <w:pPr>
        <w:pStyle w:val="[Normal]"/>
        <w:spacing w:line="360" w:lineRule="auto"/>
        <w:ind w:firstLine="1134"/>
        <w:jc w:val="both"/>
        <w:rPr>
          <w:lang w:val="es-AR" w:eastAsia="es-AR" w:bidi="es-AR"/>
        </w:rPr>
      </w:pPr>
      <w:r>
        <w:rPr>
          <w:lang w:val="es-AR" w:eastAsia="es-AR" w:bidi="es-AR"/>
        </w:rPr>
        <w:t xml:space="preserve">a) Que la sentencia incurre en una aplicación automática, rígida y aislada del art. 41 de la Ley 24.449, transformando la prioridad de paso en un privilegio absoluto incompatible con el sistema de responsabilidad civil, prescindiendo del análisis integral de la conducta de los intervinientes. Cita abundante jurisprudencia, en cuanto sostienen que la prioridad de paso únicamente opera cuando los rodados arriban a la encrucijada en forma simultánea o casi simultánea, y no cuando uno de ellos ya se encontraba atravesando el cruce.</w:t>
      </w:r>
    </w:p>
    <w:p>
      <w:pPr>
        <w:pStyle w:val="[Normal]"/>
        <w:spacing w:line="360" w:lineRule="auto"/>
        <w:ind w:firstLine="1134"/>
        <w:jc w:val="both"/>
        <w:rPr>
          <w:lang w:val="es-AR" w:eastAsia="es-AR" w:bidi="es-AR"/>
        </w:rPr>
      </w:pPr>
      <w:r>
        <w:rPr>
          <w:lang w:val="es-AR" w:eastAsia="es-AR" w:bidi="es-AR"/>
        </w:rPr>
        <w:t xml:space="preserve">b) Que el fallo omitió analizar la posible concurrencia de responsabilidades, a pesar de que la prueba pericial mecánica, la fotográfica y el video acreditan que el impacto se produjo en el sector lateral medio-trasero derecho del Renault, evidenciando que el actor ya había traspuesto sustancialmente la intersección; que la camioneta Volkswagen continuó su marcha unos veinte metros sin maniobra eficaz de frenado o evasión; y que el demandado, según el testigo Florance, reconoció espontáneamente que conducía apurado.</w:t>
      </w:r>
    </w:p>
    <w:p>
      <w:pPr>
        <w:pStyle w:val="[Normal]"/>
        <w:spacing w:line="360" w:lineRule="auto"/>
        <w:ind w:firstLine="1134"/>
        <w:jc w:val="both"/>
        <w:rPr>
          <w:lang w:val="es-AR" w:eastAsia="es-AR" w:bidi="es-AR"/>
        </w:rPr>
      </w:pPr>
      <w:r>
        <w:rPr>
          <w:lang w:val="es-AR" w:eastAsia="es-AR" w:bidi="es-AR"/>
        </w:rPr>
        <w:t xml:space="preserve">c) Que la magistrada omitió el análisis del ejercicio abusivo del derecho (art. 10 CCCN), ya que la prioridad de paso no puede funcionar como causa de justificación cuando es ejercida sin prudencia, a velocidad inadecuada y en condiciones climáticas adversas (copiosa lluvia), circunstancias que demuestran que el demandado no actuó conforme al principio de buena fe (art. 9 CCCN) ni respetó el deber general de no dañar (arts. 1716, 1757 y 1769 CCCN).</w:t>
      </w:r>
    </w:p>
    <w:p>
      <w:pPr>
        <w:pStyle w:val="[Normal]"/>
        <w:spacing w:line="360" w:lineRule="auto"/>
        <w:ind w:firstLine="1134"/>
        <w:jc w:val="both"/>
        <w:rPr>
          <w:lang w:val="es-AR" w:eastAsia="es-AR" w:bidi="es-AR"/>
        </w:rPr>
      </w:pPr>
      <w:r>
        <w:rPr>
          <w:lang w:val="es-AR" w:eastAsia="es-AR" w:bidi="es-AR"/>
        </w:rPr>
        <w:t xml:space="preserve">3) La parte demandada y la aseguradora al contestar el traslado, sostuvieron la corrección del fallo, destacando la sólida argumentación de la sentenciante y la carencia de prueba concluyente que desvirtuara la prioridad de paso del demandado. Piden su confirmación.</w:t>
      </w:r>
    </w:p>
    <w:p>
      <w:pPr>
        <w:pStyle w:val="[Normal]"/>
        <w:spacing w:line="360" w:lineRule="auto"/>
        <w:ind w:firstLine="1134"/>
        <w:jc w:val="both"/>
        <w:rPr>
          <w:lang w:val="es-AR" w:eastAsia="es-AR" w:bidi="es-AR"/>
        </w:rPr>
      </w:pPr>
      <w:r>
        <w:rPr>
          <w:lang w:val="es-AR" w:eastAsia="es-AR" w:bidi="es-AR"/>
        </w:rPr>
        <w:t xml:space="preserve">4) Entrando a resolver liminarmente haré un repaso del marco el marco normativo y su interpretación: El art. 41 de la Ley 24.449 - aplicable en la Provincia de Buenos Aires por adhesión mediante Ley 13.927- establece que todo conductor debe ceder el paso en las encrucijadas al que cruza desde su derecha, calificando esa prioridad de "absoluta" salvo las excepciones taxativamente enumeradas. </w:t>
      </w:r>
    </w:p>
    <w:p>
      <w:pPr>
        <w:pStyle w:val="[Normal]"/>
        <w:spacing w:line="360" w:lineRule="auto"/>
        <w:ind w:firstLine="1134"/>
        <w:jc w:val="both"/>
        <w:rPr>
          <w:lang w:val="es-AR" w:eastAsia="es-AR" w:bidi="es-AR"/>
        </w:rPr>
      </w:pPr>
      <w:r>
        <w:rPr>
          <w:lang w:val="es-AR" w:eastAsia="es-AR" w:bidi="es-AR"/>
        </w:rPr>
        <w:t xml:space="preserve">Sin embargo, esta Alzada ha sostenido de manera reiterada que la prioridad de paso no opera en el vacío ni equivale a una "bill de indemnidad". La prioridad consagrada legalmente constituye una pauta fundamental de ordenamiento del tránsito, que genera una presunción de culpabilidad en contra de quien la viola; pero ello no exonera automáticamente de responsabilidad a quien la invoca, cuando su propia conducta ha contribuido causalmente al resultado dañoso. La regla es de aplicación objetiva y no depende de quien llegó primero a la bocacalle (Ac. 47.547, SCBA; causa N° 4885-23 de esta Alzada), pero exige, en todos los casos, que quien detenta la prioridad haya circulado también conforme a derecho.</w:t>
      </w:r>
    </w:p>
    <w:p>
      <w:pPr>
        <w:pStyle w:val="[Normal]"/>
        <w:spacing w:line="360" w:lineRule="auto"/>
        <w:ind w:firstLine="1134"/>
        <w:jc w:val="both"/>
        <w:rPr>
          <w:lang w:val="es-AR" w:eastAsia="es-AR" w:bidi="es-AR"/>
        </w:rPr>
      </w:pPr>
      <w:r>
        <w:rPr>
          <w:lang w:val="es-AR" w:eastAsia="es-AR" w:bidi="es-AR"/>
        </w:rPr>
        <w:t xml:space="preserve">En consecuencia, el punto central  no es si el demandado tenía la prioridad de paso -que la tenía-, sino si el accidente se produjo en circunstancias tales que esa prioridad conserva eficacia eximitoria plena, o si por el contrario la conducta del propio demandado contribuyó causalmente al daño, que en definitiva es lo que pretende el quejoso en su punto central de los agravios.</w:t>
      </w:r>
    </w:p>
    <w:p>
      <w:pPr>
        <w:pStyle w:val="[Normal]"/>
        <w:spacing w:line="360" w:lineRule="auto"/>
        <w:ind w:firstLine="1134"/>
        <w:jc w:val="both"/>
        <w:rPr>
          <w:lang w:val="es-AR" w:eastAsia="es-AR" w:bidi="es-AR"/>
        </w:rPr>
      </w:pPr>
      <w:r>
        <w:rPr>
          <w:lang w:val="es-AR" w:eastAsia="es-AR" w:bidi="es-AR"/>
        </w:rPr>
        <w:t xml:space="preserve">A.- La prueba producida y la dinámica del accidente.</w:t>
      </w:r>
    </w:p>
    <w:p>
      <w:pPr>
        <w:pStyle w:val="[Normal]"/>
        <w:spacing w:line="360" w:lineRule="auto"/>
        <w:ind w:firstLine="1134"/>
        <w:jc w:val="both"/>
        <w:rPr>
          <w:lang w:val="es-AR" w:eastAsia="es-AR" w:bidi="es-AR"/>
        </w:rPr>
      </w:pPr>
      <w:r>
        <w:rPr>
          <w:lang w:val="es-AR" w:eastAsia="es-AR" w:bidi="es-AR"/>
        </w:rPr>
        <w:t xml:space="preserve">La pericia mecánica -única prueba que la sentenciante valoró por considerarla decisiva- resulta en verdad decisiva, pero no en el sentido que la magistrada de grado le atribuyó.</w:t>
      </w:r>
    </w:p>
    <w:p>
      <w:pPr>
        <w:pStyle w:val="[Normal]"/>
        <w:spacing w:line="360" w:lineRule="auto"/>
        <w:ind w:firstLine="1134"/>
        <w:jc w:val="both"/>
        <w:rPr>
          <w:lang w:val="es-AR" w:eastAsia="es-AR" w:bidi="es-AR"/>
        </w:rPr>
      </w:pPr>
      <w:r>
        <w:rPr>
          <w:lang w:val="es-AR" w:eastAsia="es-AR" w:bidi="es-AR"/>
        </w:rPr>
        <w:t xml:space="preserve">En efecto, el perito designado determinó con claridad que: (a) el siniestro ocurrió en la intersección de calles Francia y Solís, sin semáforos, en horario diurno y con copiosa lluvia; (b) la camioneta Volkswagen impactó con su sector frontal en el sector lateral medio-trasero derecho del automóvil Renault; (c) el Renault realizó una rototraslación con giro horario, impactando su sector trasero contra un árbol; (d) la camioneta Volkswagen prosiguió su trayecto; (e) desde el punto de vista técnico-accidentológico, la Volkswagen fue el vehículo embistente y el Renault el embestido.</w:t>
      </w:r>
    </w:p>
    <w:p>
      <w:pPr>
        <w:pStyle w:val="[Normal]"/>
        <w:spacing w:line="360" w:lineRule="auto"/>
        <w:ind w:firstLine="1134"/>
        <w:jc w:val="both"/>
        <w:rPr>
          <w:lang w:val="es-AR" w:eastAsia="es-AR" w:bidi="es-AR"/>
        </w:rPr>
      </w:pPr>
      <w:r>
        <w:rPr>
          <w:lang w:val="es-AR" w:eastAsia="es-AR" w:bidi="es-AR"/>
        </w:rPr>
        <w:t xml:space="preserve">Esta descripción técnica es sumamente relevante. Que el impacto se produjera en el sector lateral medio-trasero derecho del Renault y no en su frente o sector delantero, constituye un dato objetivo que evidencia que el rodado del actor ya había traspuesto sustancialmente la intersección al momento del choque. No se trató de un contacto en la zona delantera o de un ingreso simultáneo: el Renault se encontraba en avanzado proceso de cruce cuando fue embestido por el vehículo que ingresaba desde la derecha.</w:t>
      </w:r>
    </w:p>
    <w:p>
      <w:pPr>
        <w:pStyle w:val="[Normal]"/>
        <w:spacing w:line="360" w:lineRule="auto"/>
        <w:ind w:firstLine="1134"/>
        <w:jc w:val="both"/>
        <w:rPr>
          <w:lang w:val="es-AR" w:eastAsia="es-AR" w:bidi="es-AR"/>
        </w:rPr>
      </w:pPr>
      <w:r>
        <w:rPr>
          <w:lang w:val="es-AR" w:eastAsia="es-AR" w:bidi="es-AR"/>
        </w:rPr>
        <w:t xml:space="preserve">Que el perito haya señalado carecer de elementos técnicos para determinar las velocidades exactas de circulación no neutraliza lo anterior: la dinámica del accidente -la violencia del impacto que provocó la destrucción total del Renault, su rototraslación y el impacto final contra un árbol fijo- constituye un fuerte indicio de que la Volkswagen no circulaba a velocidad reglamentaria ni mantuvo el dominio pleno del rodado. Las consecuencias físicas descriptas son incompatibles con una colisión producida a velocidad prudente y en condiciones de pleno control.</w:t>
      </w:r>
    </w:p>
    <w:p>
      <w:pPr>
        <w:pStyle w:val="[Normal]"/>
        <w:spacing w:line="360" w:lineRule="auto"/>
        <w:ind w:firstLine="1134"/>
        <w:jc w:val="both"/>
        <w:rPr>
          <w:lang w:val="es-AR" w:eastAsia="es-AR" w:bidi="es-AR"/>
        </w:rPr>
      </w:pPr>
      <w:r>
        <w:rPr>
          <w:lang w:val="es-AR" w:eastAsia="es-AR" w:bidi="es-AR"/>
        </w:rPr>
        <w:t xml:space="preserve">B.- A ello se agrega la condición climática: el perito verificó copiosa lluvia al momento del hecho. El art. 39 inc. b) de la Ley 24.449 impone a todo conductor la obligación de circular con cuidado y prevención, conservando en todo momento el dominio efectivo del vehículo, teniendo en cuenta los riesgos propios de la circulación. La lluvia intensa incrementa los riesgos de manera notoria -visibilidad reducida, pavimento mojado, mayor distancia de frenado- y exige, por ende, una reducción de la velocidad y un incremento de la atención por parte de todos los conductores.</w:t>
      </w:r>
    </w:p>
    <w:p>
      <w:pPr>
        <w:pStyle w:val="[Normal]"/>
        <w:spacing w:line="360" w:lineRule="auto"/>
        <w:ind w:firstLine="1134"/>
        <w:jc w:val="both"/>
        <w:rPr>
          <w:lang w:val="es-AR" w:eastAsia="es-AR" w:bidi="es-AR"/>
        </w:rPr>
      </w:pPr>
      <w:r>
        <w:rPr>
          <w:lang w:val="es-AR" w:eastAsia="es-AR" w:bidi="es-AR"/>
        </w:rPr>
        <w:t xml:space="preserve">C.- El testimonio de Iván Ariel Florance, desestimado por la a quo por no haber presenciado el choque, no puede ser descartado en su integridad. Lo que el testigo relata no es la mecánica del accidente -que no presenció-, sino las palabras que el propio demandado Serra pronunció espontáneamente al llegar al lugar: "mala mía, mala mía, venía apurado porque me olvidé la llave del negocio y tenía a los empleados y a la gente esperando afuera". Esta manifestación, producida inmediatamente después del hecho, en el calor del momento y sin posibilidad de reflexión estratégica, constituye una declaración contra el propio interés de singular valor probatorio. No se trata de una mera manifestación subjetiva: configura el reconocimiento espontáneo de un estado anímico -el apuro- que, en condiciones de lluvia, resulta directamente incompatible con el deber de conducir con prudencia y dominio del rodado.</w:t>
      </w:r>
    </w:p>
    <w:p>
      <w:pPr>
        <w:pStyle w:val="[Normal]"/>
        <w:spacing w:line="360" w:lineRule="auto"/>
        <w:ind w:firstLine="1134"/>
        <w:jc w:val="both"/>
        <w:rPr>
          <w:lang w:val="es-AR" w:eastAsia="es-AR" w:bidi="es-AR"/>
        </w:rPr>
      </w:pPr>
      <w:r>
        <w:rPr>
          <w:lang w:val="es-AR" w:eastAsia="es-AR" w:bidi="es-AR"/>
        </w:rPr>
        <w:t xml:space="preserve">D.- La responsabilidad y su distribución.</w:t>
      </w:r>
    </w:p>
    <w:p>
      <w:pPr>
        <w:pStyle w:val="[Normal]"/>
        <w:spacing w:line="360" w:lineRule="auto"/>
        <w:ind w:firstLine="1134"/>
        <w:jc w:val="both"/>
        <w:rPr>
          <w:lang w:val="es-AR" w:eastAsia="es-AR" w:bidi="es-AR"/>
        </w:rPr>
      </w:pPr>
      <w:r>
        <w:rPr>
          <w:lang w:val="es-AR" w:eastAsia="es-AR" w:bidi="es-AR"/>
        </w:rPr>
        <w:t xml:space="preserve">Del análisis precedente se desprende que no es posible sostener la exclusiva culpabilidad del actor en los términos en que lo hizo la sentenciante.</w:t>
      </w:r>
    </w:p>
    <w:p>
      <w:pPr>
        <w:pStyle w:val="[Normal]"/>
        <w:spacing w:line="360" w:lineRule="auto"/>
        <w:ind w:firstLine="1134"/>
        <w:jc w:val="both"/>
        <w:rPr>
          <w:lang w:val="es-AR" w:eastAsia="es-AR" w:bidi="es-AR"/>
        </w:rPr>
      </w:pPr>
      <w:r>
        <w:rPr>
          <w:lang w:val="es-AR" w:eastAsia="es-AR" w:bidi="es-AR"/>
        </w:rPr>
        <w:t xml:space="preserve">El accionante infringió la prioridad de paso del demandado al no cederle el paso al vehículo que provenía de su derecha. Ello es claro y no admite duda: el Renault ingresó a la encrucijada sin ceder el paso a quien circulaba por calle Solís.</w:t>
      </w:r>
    </w:p>
    <w:p>
      <w:pPr>
        <w:pStyle w:val="[Normal]"/>
        <w:spacing w:line="360" w:lineRule="auto"/>
        <w:ind w:firstLine="1134"/>
        <w:jc w:val="both"/>
        <w:rPr>
          <w:lang w:val="es-AR" w:eastAsia="es-AR" w:bidi="es-AR"/>
        </w:rPr>
      </w:pPr>
      <w:r>
        <w:rPr>
          <w:lang w:val="es-AR" w:eastAsia="es-AR" w:bidi="es-AR"/>
        </w:rPr>
        <w:t xml:space="preserve">Sin embargo, la prueba también acredita con el grado de convicción suficiente que el demandado Serra condujo la Volkswagen en condiciones de apuro reconocido, en un contexto de lluvia intensa que demandaba mayor prudencia, sin mantener el dominio pleno del rodado ni adoptar las maniobras de frenado o evasión que la situación exigía. La gravedad de los daños y la dinámica del accidente -un rodado destruido totalmente tras una rototraslación y colisión contra árbol fijo- son manifestaciones objetivas de que la velocidad empleada no era reglamentaria ni adecuada a las circunstancias. </w:t>
      </w:r>
    </w:p>
    <w:p>
      <w:pPr>
        <w:pStyle w:val="[Normal]"/>
        <w:spacing w:line="360" w:lineRule="auto"/>
        <w:ind w:firstLine="1134"/>
        <w:jc w:val="both"/>
        <w:rPr>
          <w:lang w:val="es-AR" w:eastAsia="es-AR" w:bidi="es-AR"/>
        </w:rPr>
      </w:pPr>
      <w:r>
        <w:rPr>
          <w:lang w:val="es-AR" w:eastAsia="es-AR" w:bidi="es-AR"/>
        </w:rPr>
        <w:t xml:space="preserve">Tampoco ha de olvidarse que la conducción de cosas riesgosas provoca una responsabilidad de tipo objetiva que determina la necesidad de analizar minuciosamente la contribución en el evento  de los protagonistas.</w:t>
      </w:r>
    </w:p>
    <w:p>
      <w:pPr>
        <w:pStyle w:val="[Normal]"/>
        <w:spacing w:line="360" w:lineRule="auto"/>
        <w:ind w:firstLine="1134"/>
        <w:jc w:val="both"/>
        <w:rPr>
          <w:lang w:val="es-AR" w:eastAsia="es-AR" w:bidi="es-AR"/>
        </w:rPr>
      </w:pPr>
      <w:r>
        <w:rPr>
          <w:lang w:val="es-AR" w:eastAsia="es-AR" w:bidi="es-AR"/>
        </w:rPr>
        <w:t xml:space="preserve">En este marco, resulta de aplicación el criterio sostenido por esta Alzada y la jurisprudencia mayoritaria: la prioridad de paso no exime de responsabilidad a quien la invoca cuando su propio accionar ha contribuido causalmente al resultado. La prioridad no autoriza a avanzar sin dominio del rodado ni a prescindir de las precauciones exigidas por las condiciones del tránsito. La regla no convierte al conductor privilegiado en árbitro de la seguridad ajena.</w:t>
      </w:r>
    </w:p>
    <w:p>
      <w:pPr>
        <w:pStyle w:val="[Normal]"/>
        <w:spacing w:line="360" w:lineRule="auto"/>
        <w:ind w:firstLine="1134"/>
        <w:jc w:val="both"/>
        <w:rPr>
          <w:lang w:val="es-AR" w:eastAsia="es-AR" w:bidi="es-AR"/>
        </w:rPr>
      </w:pPr>
      <w:r>
        <w:rPr>
          <w:lang w:val="es-AR" w:eastAsia="es-AR" w:bidi="es-AR"/>
        </w:rPr>
        <w:t xml:space="preserve">Se configura, en consecuencia, una concurrencia de aportes causales que debe distribuirse entre ambos protagonistas del siniestro. Pondéranse: a favor del actor, que se encontraba en avanzado estado de cruce al momento del impacto; en su contra, que ingresó a la encrucijada sin ceder el paso a quien provenía de su derecha. A favor del demandado, que tenía la prioridad de paso; en su contra, que circulaba a velocidad inadecuada en condiciones de lluvia, con manifiesto apuro, sin dominio eficaz del rodado, y sin adoptar maniobras para evitar el impacto.</w:t>
      </w:r>
    </w:p>
    <w:p>
      <w:pPr>
        <w:pStyle w:val="[Normal]"/>
        <w:spacing w:line="360" w:lineRule="auto"/>
        <w:ind w:firstLine="1134"/>
        <w:jc w:val="both"/>
        <w:rPr>
          <w:lang w:val="es-AR" w:eastAsia="es-AR" w:bidi="es-AR"/>
        </w:rPr>
      </w:pPr>
      <w:r>
        <w:rPr>
          <w:lang w:val="es-AR" w:eastAsia="es-AR" w:bidi="es-AR"/>
        </w:rPr>
        <w:t xml:space="preserve">Valorando el conjunto de las circunstancias descriptas, propicio distribuir la responsabilidad en un treinta por ciento (30%) a cargo del demandado Facundo Serra -y solidariamente de Rafada S. A. en su carácter de titular registral y de la citada en garantía Seguros Bernardino Rivadavia Coop. Ltda. en la medida del seguro- y un setenta por ciento (70%) a cargo del actor Rogelio Iván Rodriguez.</w:t>
      </w:r>
    </w:p>
    <w:p>
      <w:pPr>
        <w:pStyle w:val="[Normal]"/>
        <w:spacing w:line="360" w:lineRule="auto"/>
        <w:ind w:firstLine="1134"/>
        <w:jc w:val="both"/>
        <w:rPr>
          <w:lang w:val="es-AR" w:eastAsia="es-AR" w:bidi="es-AR"/>
        </w:rPr>
      </w:pPr>
      <w:r>
        <w:rPr>
          <w:lang w:val="es-AR" w:eastAsia="es-AR" w:bidi="es-AR"/>
        </w:rPr>
        <w:t xml:space="preserve">E.- Los rubros indemnizatorios.</w:t>
      </w:r>
    </w:p>
    <w:p>
      <w:pPr>
        <w:pStyle w:val="[Normal]"/>
        <w:spacing w:line="360" w:lineRule="auto"/>
        <w:ind w:firstLine="1134"/>
        <w:jc w:val="both"/>
        <w:rPr>
          <w:lang w:val="es-AR" w:eastAsia="es-AR" w:bidi="es-AR"/>
        </w:rPr>
      </w:pPr>
      <w:r>
        <w:rPr>
          <w:lang w:val="es-AR" w:eastAsia="es-AR" w:bidi="es-AR"/>
        </w:rPr>
        <w:t xml:space="preserve">Determinada así las responsabilidades y la proporción en la que deben responder, cabe adentrarse en la cuantificación de los rubros solicitados por la actora en su demanda de fecha 29-8-2025. Eso es, daño material, daño moral, daño emergente, lucro cesante y daño punitivo.-</w:t>
      </w:r>
    </w:p>
    <w:p>
      <w:pPr>
        <w:pStyle w:val="[Normal]"/>
        <w:spacing w:line="360" w:lineRule="auto"/>
        <w:ind w:firstLine="1134"/>
        <w:jc w:val="both"/>
        <w:rPr>
          <w:lang w:val="es-AR" w:eastAsia="es-AR" w:bidi="es-AR"/>
        </w:rPr>
      </w:pPr>
      <w:r>
        <w:rPr>
          <w:lang w:val="es-AR" w:eastAsia="es-AR" w:bidi="es-AR"/>
        </w:rPr>
        <w:t xml:space="preserve">a) Daño material (destrucción total del vehículo):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atinente al rubro reclamado por la pérdida total del vehículo Renault R12, dominio ULX372, el actor peticionó la suma de $7.300.000, sustentando su pretensión en un presupuesto de reparación emitido por la firma "El Tano Damore S. A. Servicio del Automotor", incorporado a la causa y que no fue objeto de impugnación en cuanto a su autenticidad.</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Sin embargo, corresponde señalar que el referido instrumento se encuentra orientado a cuantificar las tareas de reparación, reposición de piezas y pintura del rodado siniestrado, mas no constituye una valuación del automotor en plaza ni determina su valor para el supuesto de destrucción total. En consecuencia, no resulta idóneo, por sí solo, para establecer la entidad económica del perjuicio cuya reparación se persigue.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No desconoce este Tribunal el principio de reparación plena consagrado en el artículo 1740 del Código Civil y Comercial de la Nación, conforme el cual la indemnización debe tender a restablecer la situación patrimonial del damnificado al estado anterior al hecho dañoso, ya sea mediante restitución específica o por equivalente dinerario cuando aquella resulte imposible, excesivamente onerosa o abusiva.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Ahora bien, de la pericia mecánica producida en autos con fecha 21-10- 2025 surge que el experto informó que </w:t>
      </w:r>
      <w:r>
        <w:rPr>
          <w:i/>
          <w:lang w:val="es-AR" w:eastAsia="es-AR" w:bidi="es-AR"/>
        </w:rPr>
        <w:t xml:space="preserve">"el valor de un automóvil Renault año 1992 de características similares al del presente expediente en la fecha de confección del presente informe es subjetivo dependiendo fundamentalmente de la oferta y la demanda, pudiéndose establecer un valor razonable entre $2.500.000 y $2.700.000"</w:t>
      </w:r>
      <w:r>
        <w:rPr>
          <w:lang w:val="es-AR" w:eastAsia="es-AR" w:bidi="es-AR"/>
        </w:rPr>
        <w:t xml:space="preserve">. Asimismo, concluyó que </w:t>
      </w:r>
      <w:r>
        <w:rPr>
          <w:i/>
          <w:lang w:val="es-AR" w:eastAsia="es-AR" w:bidi="es-AR"/>
        </w:rPr>
        <w:t xml:space="preserve">"el valor de reparación descripto en el presupuesto adjunto supera ampliamente el valor actual del automóvil Renault, considerando este perito que el mismo presenta un estado de destrucción total"</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De tal modo, se encuentra acreditado que el costo de reparación excede notoriamente el valor de mercado del vehículo, circunstancia que torna antieconómica su reconstrucción y desplaza la aplicación de la restitución específica prevista en el citado artículo 1740 del Código Civil y Comercial, correspondiendo determinar el resarcimiento sobre la base del valor del bien perdido.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este sentido, cabe recordar que este Tribunal ha sostenido, en el precedente "Leidi" (causa n.º 4925-23, sentencia del 29/08/2023, RS-126-2023), que en los supuestos de destrucción total del automotor la indemnización debe fijarse tomando como parámetro el valor actual del vehículo al momento de la decisión jurisdiccional, procurando así la efectividad del principio de reparación integral.</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color w:val="000000"/>
          <w:lang w:val="es-AR" w:eastAsia="es-AR" w:bidi="es-AR"/>
        </w:rPr>
        <w:t xml:space="preserve">A fin de evitar reiteraciones innecesarias, he de limitarme a transcribir únicamente la conclusión de esta Alzada en aquel precedente: </w:t>
      </w:r>
      <w:r>
        <w:rPr>
          <w:i/>
          <w:color w:val="000000"/>
          <w:lang w:val="es-AR" w:eastAsia="es-AR" w:bidi="es-AR"/>
        </w:rPr>
        <w:t xml:space="preserve">"En virtud de lo expuesto, entiendo que la convergencia conjunta y armónica de los argumentos expuestos -naturaleza jurídica de la deuda de valor (art. 772 del C.C.), efectos de la mora del deudor (art. 886 del C.C.), principio de reparación plena (art. 1740 del C.C.), las proyecciones del principio de buena fe (art. 9 del C.C.), la función indemnizatoria y protectoria del derecho del seguro (art. 3 de la ley 24.240 y art. 1 de la ley 17.418-, las consecuencias económicas distorsivas producidas por el proceso inflacionario en los últimos tres años en tanto hecho público y notorio (art. 384 del CPCCBA, el control de abusividad de las cláusulas integrativas de contratos de consumo (art. 37 de la ley 24.240), los lineamientos generales de la doctrina legal de la SCBA en materia de determinación de deudas de valor- establece la necesidad de acoger el agravio vertido por el apelante y determinar el rubro resarcitorio reclamado sobre la base del valor actual del automóvil y no sobre la base de la suma asegurada como importe nominal e histórico"</w:t>
      </w:r>
      <w:r>
        <w:rPr>
          <w:color w:val="000000"/>
          <w:lang w:val="es-AR" w:eastAsia="es-AR" w:bidi="es-AR"/>
        </w:rPr>
        <w:t xml:space="preserve"> (Cámara de Apelaciones en lo Civil y Comercial de Pergamino, </w:t>
      </w:r>
      <w:r>
        <w:rPr>
          <w:lang w:val="es-AR" w:eastAsia="es-AR" w:bidi="es-AR"/>
        </w:rPr>
        <w:t xml:space="preserve">causa N° </w:t>
      </w:r>
      <w:r>
        <w:rPr>
          <w:color w:val="000000"/>
          <w:lang w:val="es-AR" w:eastAsia="es-AR" w:bidi="es-AR"/>
        </w:rPr>
        <w:t xml:space="preserve">4925-23</w:t>
      </w:r>
      <w:r>
        <w:rPr>
          <w:lang w:val="es-AR" w:eastAsia="es-AR" w:bidi="es-AR"/>
        </w:rPr>
        <w:t xml:space="preserve"> caratulada "</w:t>
      </w:r>
      <w:r>
        <w:rPr>
          <w:color w:val="000000"/>
          <w:lang w:val="es-AR" w:eastAsia="es-AR" w:bidi="es-AR"/>
        </w:rPr>
        <w:t xml:space="preserve">Leidi Fatima Gisela c/ Cooperacion Mutual Patronal S.M.S.G. s/ Daños y Perj. Incump. Contractual (Exc. Estado)</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Asimismo, y dado que se trata de un modelo discontinuado que no posee cotización oficial actualizada ni referencias uniformes de mercado, corresponde a esta Alzada efectuar una labor integradora de la prueba producida. A tal fin, siguiendo una metodología análoga a la empleada por la Cámara de Apelación en lo Civil y Comercial de La Matanza en la causa "Alonso José c/ Seguros Bernardino Rivadavia Cooperativa Limitada s/ Cobro Ordinario de Sumas de Dinero" (sentencia del 2 de septiembre de 2021), resulta razonable acudir como pauta complementaria a los valores de publicación de vehículos usados de similares características que surgen de plataformas de comercialización masiva ampliamente difundidas y utilizadas por los operadores del mercado automotor.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el caso, se ha tomado como referencia la publicación correspondiente a un vehículo Renault R-12 1.4 año 1992 ofrecido a través de la plataforma Mercado Libre, cuyo valor de oferta constituye un elemento adicional de apreciación para la determinación del valor venal del rodado objeto de autos, sin perjuicio de las demás constancias probatorias ponderadas en la presente decisión. (https://auto.mercadolibre.com.ar/MLA-3418775118-renault-r-12-14-tl-_JM#polycard_client=search-desktop&amp;be_origin=backend&amp;search_layout=grid&amp;position=9&amp;type=item&amp;tracking_id=5ccf7b08-47b3-4e7f-a61b-8c8fb0e57c57).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función de ello, ponderando conjuntamente las conclusiones periciales, las circunstancias particulares del caso, la depreciación monetaria operada desde la elaboración del informe técnico y los valores de referencia que surgen de las citadas fuentes de consulta, estimo equitativo fijar el resarcimiento correspondiente a este rubro en la suma de Pesos Cuatro millones quinientos mil ($4.500.000), importe que, a la fecha del presente pronunciamiento, aparece como adecuado para satisfacer el principio de reparación plena que informa nuestro ordenamiento jurídico.</w:t>
      </w:r>
    </w:p>
    <w:p>
      <w:pPr>
        <w:pStyle w:val="[Normal]"/>
        <w:spacing w:line="360" w:lineRule="auto"/>
        <w:ind w:firstLine="1134"/>
        <w:jc w:val="both"/>
        <w:rPr>
          <w:lang w:val="es-AR" w:eastAsia="es-AR" w:bidi="es-AR"/>
        </w:rPr>
      </w:pPr>
      <w:r>
        <w:rPr>
          <w:lang w:val="es-AR" w:eastAsia="es-AR" w:bidi="es-AR"/>
        </w:rPr>
        <w:t xml:space="preserve">b) Daño moral:</w:t>
      </w:r>
    </w:p>
    <w:p>
      <w:pPr>
        <w:pStyle w:val="[Normal]"/>
        <w:spacing w:line="360" w:lineRule="auto"/>
        <w:ind w:firstLine="1134"/>
        <w:jc w:val="both"/>
        <w:rPr>
          <w:lang w:val="es-AR" w:eastAsia="es-AR" w:bidi="es-AR"/>
        </w:rPr>
      </w:pPr>
      <w:r>
        <w:rPr>
          <w:lang w:val="es-AR" w:eastAsia="es-AR" w:bidi="es-AR"/>
        </w:rPr>
        <w:t xml:space="preserve">Respecto este rubro, la actora solicitó la suma de pesos tres millones ($3.000.000) como consecuencia del hecho dañoso sufrido.</w:t>
      </w:r>
    </w:p>
    <w:p>
      <w:pPr>
        <w:pStyle w:val="[Normal]"/>
        <w:spacing w:line="360" w:lineRule="auto"/>
        <w:ind w:firstLine="1134"/>
        <w:jc w:val="both"/>
        <w:rPr>
          <w:lang w:val="es-AR" w:eastAsia="es-AR" w:bidi="es-AR"/>
        </w:rPr>
      </w:pPr>
      <w:r>
        <w:rPr>
          <w:lang w:val="es-AR" w:eastAsia="es-AR" w:bidi="es-AR"/>
        </w:rPr>
        <w:t xml:space="preserve">Coincidente con lo resuelto en otros precedentes de este Tribunal (Causa 4338/23 SD de 26/10/2023 RS-156-2023) propicio otorgarle el daño moral pedido -aún sin reclamar daño físico- porque en el sistema normativo vigente a partir del año 2015, puso el acento en el daño no justificado como criterio de definición de la antijuridicidad, por lo que claramente, frente a la colisión que quedara probada, así como la mortificación de espíritu que el evento ocasionara a la parte actora, es dable admitir el rubro pedido, en tanto las aflicciones generadas por el siniestro han sido expuestas a lo largo de la causa.</w:t>
      </w:r>
    </w:p>
    <w:p>
      <w:pPr>
        <w:pStyle w:val="[Normal]"/>
        <w:spacing w:line="360" w:lineRule="auto"/>
        <w:ind w:firstLine="1134"/>
        <w:jc w:val="both"/>
        <w:rPr>
          <w:lang w:val="es-AR" w:eastAsia="es-AR" w:bidi="es-AR"/>
        </w:rPr>
      </w:pPr>
      <w:r>
        <w:rPr>
          <w:lang w:val="es-AR" w:eastAsia="es-AR" w:bidi="es-AR"/>
        </w:rPr>
        <w:t xml:space="preserve">Sobre este piso de marcha, ha dicho este Tribunal que: "como en esta materia es imposible producir prueba directa sobre el perjuicio padecido dado que la índole espiritual y subjetiva del menoscabo suele ser insusceptible de este tipo de acreditación, cobra valor la prueba indirecta la que con frecuencia -y como acontece en la especie- surge in re ipsa del hecho dañoso integralmente considerado.  Al decir de Bustamante Alsina, "...no creemos que el agravio moral debe ser objeto de prueba directa, pues ello resulta absolutamente imposible por la índole del mismo que reside en lo más íntimo de la personalidad...´ (BUSTAMANTE ALSINA, Equitativa valuación del daño no mensurable, LL, 1990-A-655). (...) Así pues la prueba indirecta del daño moral encuentra en los indicios y en las presunciones hominis, su modo natural de realización. Deben de tal modo, probarse los hechos en los que se basa la presunción. En la razonable conexión entre el hecho indicativo (el cual no está exento de prueba) y el hecho indicado yace la eficacia de la prueba presuncional (art. 384 del CPBA; así también lo ha estimado esta Cámara en los autos N° en los autos N° 2204- 14 caratulados "Bada, Yesica Rita c/ Cantore, Luciano y Otro/a s/ Daños y Perj. Del./Cuas. (Exc. Uso Aut. y Estado)".</w:t>
      </w:r>
    </w:p>
    <w:p>
      <w:pPr>
        <w:pStyle w:val="[Normal]"/>
        <w:spacing w:line="360" w:lineRule="auto"/>
        <w:ind w:firstLine="1134"/>
        <w:jc w:val="both"/>
        <w:rPr>
          <w:lang w:val="es-AR" w:eastAsia="es-AR" w:bidi="es-AR"/>
        </w:rPr>
      </w:pPr>
      <w:r>
        <w:rPr>
          <w:lang w:val="es-AR" w:eastAsia="es-AR" w:bidi="es-AR"/>
        </w:rPr>
        <w:t xml:space="preserve">Dicho ello y atendiendo a la entidad del hecho dañoso, la angustia evidenciada en el lugar del accidente, la privación del único medio de movilidad familiar y laboral, las dificultades que todo siniestro ocasiona, fíjase la indemnización por daño moral en la suma de Pesos Dos Millones ($2.000.000), por resultar más ajustada a las circunstancias acreditadas.</w:t>
      </w:r>
    </w:p>
    <w:p>
      <w:pPr>
        <w:pStyle w:val="[Normal]"/>
        <w:spacing w:line="360" w:lineRule="auto"/>
        <w:ind w:firstLine="1134"/>
        <w:jc w:val="both"/>
        <w:rPr>
          <w:lang w:val="es-AR" w:eastAsia="es-AR" w:bidi="es-AR"/>
        </w:rPr>
      </w:pPr>
      <w:r>
        <w:rPr>
          <w:lang w:val="es-AR" w:eastAsia="es-AR" w:bidi="es-AR"/>
        </w:rPr>
        <w:t xml:space="preserve">c) Daño emergente (gastos de movilidad alternativa):</w:t>
      </w:r>
    </w:p>
    <w:p>
      <w:pPr>
        <w:pStyle w:val="[Normal]"/>
        <w:spacing w:line="360" w:lineRule="auto"/>
        <w:ind w:firstLine="1134"/>
        <w:jc w:val="both"/>
        <w:rPr>
          <w:lang w:val="es-AR" w:eastAsia="es-AR" w:bidi="es-AR"/>
        </w:rPr>
      </w:pPr>
      <w:r>
        <w:rPr>
          <w:lang w:val="es-AR" w:eastAsia="es-AR" w:bidi="es-AR"/>
        </w:rPr>
        <w:t xml:space="preserve">El actor reclamó la suma de $300.000 por gastos de movilidad derivados de la privación del uso del vehículo.</w:t>
      </w:r>
    </w:p>
    <w:p>
      <w:pPr>
        <w:pStyle w:val="[Normal]"/>
        <w:spacing w:line="360" w:lineRule="auto"/>
        <w:ind w:firstLine="1134"/>
        <w:jc w:val="both"/>
        <w:rPr>
          <w:lang w:val="es-AR" w:eastAsia="es-AR" w:bidi="es-AR"/>
        </w:rPr>
      </w:pPr>
      <w:r>
        <w:rPr>
          <w:lang w:val="es-AR" w:eastAsia="es-AR" w:bidi="es-AR"/>
        </w:rPr>
        <w:t xml:space="preserve">La jurisprudencia ha sostenido que: </w:t>
      </w:r>
      <w:r>
        <w:rPr>
          <w:i/>
          <w:lang w:val="es-AR" w:eastAsia="es-AR" w:bidi="es-AR"/>
        </w:rPr>
        <w:t xml:space="preserve">"La existencia del daño por privación de uso del rodado debe ser acreditada, toda vez que no procede "in re ipsa" del solo hecho de la privación del uso durante el tiempo que demande la realización de las reparaciones de lo daños materiales causados por el accidente"</w:t>
      </w:r>
      <w:r>
        <w:rPr>
          <w:lang w:val="es-AR" w:eastAsia="es-AR" w:bidi="es-AR"/>
        </w:rPr>
        <w:t xml:space="preserve"> (CC0002 SM 85695 320 S 14/10/2025 JUBA B2003718).</w:t>
      </w:r>
    </w:p>
    <w:p>
      <w:pPr>
        <w:pStyle w:val="[Normal]"/>
        <w:spacing w:line="360" w:lineRule="auto"/>
        <w:ind w:firstLine="1134"/>
        <w:jc w:val="both"/>
        <w:rPr>
          <w:lang w:val="es-AR" w:eastAsia="es-AR" w:bidi="es-AR"/>
        </w:rPr>
      </w:pPr>
      <w:r>
        <w:rPr>
          <w:lang w:val="es-AR" w:eastAsia="es-AR" w:bidi="es-AR"/>
        </w:rPr>
        <w:t xml:space="preserve">En tal linea de ideas, la procedencia del rubro exigía que la reclamante acreditara, mediante prueba concreta y suficiente, los gastos efectivamente afrontados como consecuencia de la indisponibilidad del automotor.</w:t>
      </w:r>
    </w:p>
    <w:p>
      <w:pPr>
        <w:pStyle w:val="[Normal]"/>
        <w:spacing w:line="360" w:lineRule="auto"/>
        <w:ind w:firstLine="1134"/>
        <w:jc w:val="both"/>
        <w:rPr>
          <w:lang w:val="es-AR" w:eastAsia="es-AR" w:bidi="es-AR"/>
        </w:rPr>
      </w:pPr>
      <w:r>
        <w:rPr>
          <w:lang w:val="es-AR" w:eastAsia="es-AR" w:bidi="es-AR"/>
        </w:rPr>
        <w:t xml:space="preserve">Sin embargo, de las constancias de autos no surge elemento probatorio alguno que permita tener por demostrados tales extremos, desde que no se acompañaron comprobantes, recibos ni otra evidencia idónea que acredite los gastos invocados o la efectiva erogación derivada de la alegada privación de uso.</w:t>
      </w:r>
    </w:p>
    <w:p>
      <w:pPr>
        <w:pStyle w:val="[Normal]"/>
        <w:spacing w:line="360" w:lineRule="auto"/>
        <w:ind w:firstLine="1134"/>
        <w:jc w:val="both"/>
        <w:rPr>
          <w:lang w:val="es-AR" w:eastAsia="es-AR" w:bidi="es-AR"/>
        </w:rPr>
      </w:pPr>
      <w:r>
        <w:rPr>
          <w:lang w:val="es-AR" w:eastAsia="es-AR" w:bidi="es-AR"/>
        </w:rPr>
        <w:t xml:space="preserve">En consecuencia, ante la ausencia de prueba suficiente sobre la existencia y cuantía del perjuicio reclamado, corresponde rechazar la indemnización pretendida.</w:t>
      </w:r>
    </w:p>
    <w:p>
      <w:pPr>
        <w:pStyle w:val="[Normal]"/>
        <w:spacing w:line="360" w:lineRule="auto"/>
        <w:ind w:firstLine="1134"/>
        <w:jc w:val="both"/>
        <w:rPr>
          <w:lang w:val="es-AR" w:eastAsia="es-AR" w:bidi="es-AR"/>
        </w:rPr>
      </w:pPr>
      <w:r>
        <w:rPr>
          <w:lang w:val="es-AR" w:eastAsia="es-AR" w:bidi="es-AR"/>
        </w:rPr>
        <w:t xml:space="preserve">d) Lucro cesante:</w:t>
      </w:r>
    </w:p>
    <w:p>
      <w:pPr>
        <w:pStyle w:val="[Normal]"/>
        <w:spacing w:line="360" w:lineRule="auto"/>
        <w:ind w:firstLine="1134"/>
        <w:jc w:val="both"/>
        <w:rPr>
          <w:lang w:val="es-AR" w:eastAsia="es-AR" w:bidi="es-AR"/>
        </w:rPr>
      </w:pPr>
      <w:r>
        <w:rPr>
          <w:lang w:val="es-AR" w:eastAsia="es-AR" w:bidi="es-AR"/>
        </w:rPr>
        <w:t xml:space="preserve">En cuanto al lucro cesante, la accionante reclamó la suma de $1.000.000, sosteniendo que el siniestro afectó directamente su capacidad laboral al impedirle trasladarse a los domicilios de sus clientes, privándolo de obtener los ingresos habituales derivados de su actividad.-</w:t>
      </w:r>
    </w:p>
    <w:p>
      <w:pPr>
        <w:pStyle w:val="[Normal]"/>
        <w:spacing w:line="360" w:lineRule="auto"/>
        <w:ind w:firstLine="1134"/>
        <w:jc w:val="both"/>
        <w:rPr>
          <w:lang w:val="es-AR" w:eastAsia="es-AR" w:bidi="es-AR"/>
        </w:rPr>
      </w:pPr>
      <w:r>
        <w:rPr>
          <w:lang w:val="es-AR" w:eastAsia="es-AR" w:bidi="es-AR"/>
        </w:rPr>
        <w:t xml:space="preserve">Cabe recordar que el lucro cesante consiste en la ganancia o utilidad económica que razonablemente se esperaba obtener y que se frustra como consecuencia inmediata del hecho dañoso. Se trata, en definitiva, del beneficio dejado de percibir por la imposibilidad total o parcial de desarrollar la actividad productiva proyectada. Por tal motivo, este rubro no constituye un daño que se configure in re ipsa, sino que requiere adecuada acreditación de su existencia y entidad (Arts. 1738 y 1739 CCyCN).</w:t>
      </w:r>
    </w:p>
    <w:p>
      <w:pPr>
        <w:pStyle w:val="[Normal]"/>
        <w:spacing w:line="360" w:lineRule="auto"/>
        <w:ind w:firstLine="1134"/>
        <w:jc w:val="both"/>
        <w:rPr>
          <w:lang w:val="es-AR" w:eastAsia="es-AR" w:bidi="es-AR"/>
        </w:rPr>
      </w:pPr>
      <w:r>
        <w:rPr>
          <w:lang w:val="es-AR" w:eastAsia="es-AR" w:bidi="es-AR"/>
        </w:rPr>
        <w:t xml:space="preserve">No obstante ello, las particularidades del caso imponen efectuar una valoración flexible de las exigencias probatorias. En efecto, se encuentra acreditado en autos que el actor se desempeñaba como gasista matriculado, actividad desarrollada de manera independiente, circunstancia que torna dificultosa la demostración precisa y documentada de los ingresos efectivamente obtenidos en forma mensual, máxime cuando se trata de prestaciones realizadas por cuenta propia y sujetas a una dinámica laboral variable.</w:t>
      </w:r>
    </w:p>
    <w:p>
      <w:pPr>
        <w:pStyle w:val="[Normal]"/>
        <w:spacing w:line="360" w:lineRule="auto"/>
        <w:ind w:firstLine="1134"/>
        <w:jc w:val="both"/>
        <w:rPr>
          <w:lang w:val="es-AR" w:eastAsia="es-AR" w:bidi="es-AR"/>
        </w:rPr>
      </w:pPr>
      <w:r>
        <w:rPr>
          <w:lang w:val="es-AR" w:eastAsia="es-AR" w:bidi="es-AR"/>
        </w:rPr>
        <w:t xml:space="preserve">En tales condiciones, la ausencia de prueba exacta respecto del monto de las ganancias frustradas no conduce necesariamente al rechazo del rubro desde que el ordenamiento procesal faculta al magistrado a efectuar una estimación prudencial cuando la existencia del perjuicio se encuentra acreditada y sólo subsisten dificultades para determinar su cuantía (art. 165 del CPCC).</w:t>
      </w:r>
    </w:p>
    <w:p>
      <w:pPr>
        <w:pStyle w:val="[Normal]"/>
        <w:spacing w:line="360" w:lineRule="auto"/>
        <w:ind w:firstLine="1134"/>
        <w:jc w:val="both"/>
        <w:rPr>
          <w:lang w:val="es-AR" w:eastAsia="es-AR" w:bidi="es-AR"/>
        </w:rPr>
      </w:pPr>
      <w:r>
        <w:rPr>
          <w:lang w:val="es-AR" w:eastAsia="es-AR" w:bidi="es-AR"/>
        </w:rPr>
        <w:t xml:space="preserve">En el caso, la privación del uso del vehículo afectado, indispensable para el traslado del actor y el normal desenvolvimiento de su actividad profesional permite inferir razonablemente la existencia de una disminución concreta en sus posibilidades de generar ingresos durante el período en que se vio privado de su utilización.</w:t>
      </w:r>
    </w:p>
    <w:p>
      <w:pPr>
        <w:pStyle w:val="[Normal]"/>
        <w:spacing w:line="360" w:lineRule="auto"/>
        <w:ind w:firstLine="1134"/>
        <w:jc w:val="both"/>
        <w:rPr>
          <w:lang w:val="es-AR" w:eastAsia="es-AR" w:bidi="es-AR"/>
        </w:rPr>
      </w:pPr>
      <w:r>
        <w:rPr>
          <w:lang w:val="es-AR" w:eastAsia="es-AR" w:bidi="es-AR"/>
        </w:rPr>
        <w:t xml:space="preserve">Ahora bien, a los fines de cuantificar el perjuicio y ante la ausencia de elementos objetivos que permitan determinar con exactitud los ingresos efectivamente frustrados corresponde acudir a pautas de valoración razonables y objetivas.</w:t>
      </w:r>
    </w:p>
    <w:p>
      <w:pPr>
        <w:pStyle w:val="[Normal]"/>
        <w:spacing w:line="360" w:lineRule="auto"/>
        <w:ind w:firstLine="1134"/>
        <w:jc w:val="both"/>
        <w:rPr>
          <w:lang w:val="es-AR" w:eastAsia="es-AR" w:bidi="es-AR"/>
        </w:rPr>
      </w:pPr>
      <w:r>
        <w:rPr>
          <w:lang w:val="es-AR" w:eastAsia="es-AR" w:bidi="es-AR"/>
        </w:rPr>
        <w:t xml:space="preserve">En tal sentido, ponderando la naturaleza de la actividad desarrollada por el actor (gasista matriculado), así como la incidencia que la indisponibilidad del vehículo pudo razonablemente tener en el desarrollo de sus tareas habituales, corresponde efectuar una valoración equitativa del perjuicio reclamado. </w:t>
      </w:r>
    </w:p>
    <w:p>
      <w:pPr>
        <w:pStyle w:val="[Normal]"/>
        <w:spacing w:line="360" w:lineRule="auto"/>
        <w:ind w:firstLine="1134"/>
        <w:jc w:val="both"/>
        <w:rPr>
          <w:lang w:val="es-AR" w:eastAsia="es-AR" w:bidi="es-AR"/>
        </w:rPr>
      </w:pPr>
      <w:r>
        <w:rPr>
          <w:lang w:val="es-AR" w:eastAsia="es-AR" w:bidi="es-AR"/>
        </w:rPr>
        <w:t xml:space="preserve">En cuanto a su extensión temporal, ante la ausencia de elementos de convicción suficientemente precisos para determinarla con exactitud, estimo prudencialmente que el menoscabo pudo haberse proyectado por varios meses a partir del 07/04/2025 (fecha del siniestro) alcanzando aproximadamente un año. A tales fines, resulta adecuado tomar como pauta objetiva de referencia el monto del Salario Mínimo, Vital y Móvil vigente al momento del presente pronunciamiento ($367.800) como elemento orientador para la determinación prudencial de la indemnización ante la falta de prueba en concreto de ingresos dejados de percibir.</w:t>
      </w:r>
    </w:p>
    <w:p>
      <w:pPr>
        <w:pStyle w:val="[Normal]"/>
        <w:spacing w:line="360" w:lineRule="auto"/>
        <w:ind w:firstLine="1134"/>
        <w:jc w:val="both"/>
        <w:rPr>
          <w:lang w:val="es-AR" w:eastAsia="es-AR" w:bidi="es-AR"/>
        </w:rPr>
      </w:pPr>
      <w:r>
        <w:rPr>
          <w:lang w:val="es-AR" w:eastAsia="es-AR" w:bidi="es-AR"/>
        </w:rPr>
        <w:t xml:space="preserve">Sobre esa base, estimo razonable concluir que la afectación sufrida provocó  una disminución parcial de su capacidad productiva. En consecuencia, y desde una apreciación prudente y restrictiva de las circunstancias acreditadas en autos, considero adecuado fijar dicha merma en un veinticinco por ciento (20%) de los ingresos estimados supra para el período indicado.</w:t>
      </w:r>
    </w:p>
    <w:p>
      <w:pPr>
        <w:pStyle w:val="[Normal]"/>
        <w:spacing w:line="360" w:lineRule="auto"/>
        <w:ind w:firstLine="1134"/>
        <w:jc w:val="both"/>
        <w:rPr>
          <w:lang w:val="es-AR" w:eastAsia="es-AR" w:bidi="es-AR"/>
        </w:rPr>
      </w:pPr>
      <w:r>
        <w:rPr>
          <w:lang w:val="es-AR" w:eastAsia="es-AR" w:bidi="es-AR"/>
        </w:rPr>
        <w:t xml:space="preserve">En virtud de ello, y en ejercicio de las facultades conferidas por el art. 165 del CPCC, corresponde establecer la indemnización por pérdida de chance o lucro cesante (según la calificación que corresponda al caso) en la suma de pesos ochocientos ochenta y dos mil setecientos veinte ($882.720), monto que se estima justo y razonable para resarcir la utilidad económica frustrada derivada del hecho dañoso.</w:t>
      </w:r>
    </w:p>
    <w:p>
      <w:pPr>
        <w:pStyle w:val="[Normal]"/>
        <w:spacing w:line="360" w:lineRule="auto"/>
        <w:ind w:firstLine="1134"/>
        <w:jc w:val="both"/>
        <w:rPr>
          <w:lang w:val="es-AR" w:eastAsia="es-AR" w:bidi="es-AR"/>
        </w:rPr>
      </w:pPr>
      <w:r>
        <w:rPr>
          <w:lang w:val="es-AR" w:eastAsia="es-AR" w:bidi="es-AR"/>
        </w:rPr>
        <w:t xml:space="preserve">e) Daño punitivo:</w:t>
      </w:r>
    </w:p>
    <w:p>
      <w:pPr>
        <w:pStyle w:val="[Normal]"/>
        <w:spacing w:line="360" w:lineRule="auto"/>
        <w:ind w:firstLine="1134"/>
        <w:jc w:val="both"/>
        <w:rPr>
          <w:lang w:val="es-AR" w:eastAsia="es-AR" w:bidi="es-AR"/>
        </w:rPr>
      </w:pPr>
      <w:r>
        <w:rPr>
          <w:lang w:val="es-AR" w:eastAsia="es-AR" w:bidi="es-AR"/>
        </w:rPr>
        <w:t xml:space="preserve">El actor reclamó daño punitivo contra la aseguradora con fundamento en el art. 52 bis de la Ley 24.240, alegando negativa de cobertura injustificada. </w:t>
      </w:r>
    </w:p>
    <w:p>
      <w:pPr>
        <w:pStyle w:val="[Normal]"/>
        <w:spacing w:line="360" w:lineRule="auto"/>
        <w:ind w:firstLine="1134"/>
        <w:jc w:val="both"/>
        <w:rPr>
          <w:lang w:val="es-AR" w:eastAsia="es-AR" w:bidi="es-AR"/>
        </w:rPr>
      </w:pPr>
      <w:r>
        <w:rPr>
          <w:color w:val="000000"/>
          <w:lang w:val="es-AR" w:eastAsia="es-AR" w:bidi="es-AR"/>
        </w:rPr>
        <w:t xml:space="preserve">A fin de encarar debidamente esta cuestión, he de aclarar primeramente que este Tribunal tiene dicho que: </w:t>
      </w:r>
      <w:r>
        <w:rPr>
          <w:i/>
          <w:color w:val="000000"/>
          <w:lang w:val="es-AR" w:eastAsia="es-AR" w:bidi="es-AR"/>
        </w:rPr>
        <w:t xml:space="preserve">"la </w:t>
      </w:r>
      <w:r>
        <w:rPr>
          <w:i/>
          <w:lang w:val="es-AR" w:eastAsia="es-AR" w:bidi="es-AR"/>
        </w:rPr>
        <w:t xml:space="preserve">graduación del daño punitivo constituye una tarea que necesariamente debe vincularse con las funciones del instituto. Esto es: i) sancionar al causante de un daño inadmisible ii) hacer desaparecer los beneficios injustamente obtenidos provenientes de la actividad dañosa, iii) prevenir o evitar el acaecimiento de hechos lesivos similares al que mereciera la punición. Y en la especie, resulta claro que la plataforma fáctica llama a efectivizar tales funciones: 1) la virtualidad sancionatoria ante el cumplimiento tardío de la obligación adeudada, 2) la desaparición de los beneficios injustamente obtenidos, toda vez que al no entregar el auto en cuestión en tiempo oportuno y descargar sobre el consumidor el costo de la espera, el proveedor no se vio envuelto en el infortunio de tener que salir a buscar un producto sustituto en el mercado nacional o extranjero con el consiguiente encarecimiento de la prestación que ello hubiese implicado (en este caso, el enriquericimiento operó por vía negativa, es decir por no disminución del patrimonio en circunstancias en que debió haber mermado), 3) prevenir el acaecimiento de hechos lesivos similares, por cuanto estas dilaciones suelen ser corrientes en el mercado automotriz bajo la modalidad de planes de ahorro"</w:t>
      </w:r>
      <w:r>
        <w:rPr>
          <w:lang w:val="es-AR" w:eastAsia="es-AR" w:bidi="es-AR"/>
        </w:rPr>
        <w:t xml:space="preserve"> (Cf. Cámara de Apelaciones en lo Civil y Comercial de Pergamino, causa N° </w:t>
      </w:r>
      <w:r>
        <w:rPr>
          <w:color w:val="000000"/>
          <w:lang w:val="es-AR" w:eastAsia="es-AR" w:bidi="es-AR"/>
        </w:rPr>
        <w:t xml:space="preserve">5070-23</w:t>
      </w:r>
      <w:r>
        <w:rPr>
          <w:lang w:val="es-AR" w:eastAsia="es-AR" w:bidi="es-AR"/>
        </w:rPr>
        <w:t xml:space="preserve"> caratulada "</w:t>
      </w:r>
      <w:r>
        <w:rPr>
          <w:color w:val="000000"/>
          <w:lang w:val="es-AR" w:eastAsia="es-AR" w:bidi="es-AR"/>
        </w:rPr>
        <w:t xml:space="preserve">Biglieri Pablo Ernesto c/ Sauma Wagen San Isidro S. A. y otro/a s/ Cumplimiento de Contratos Civiles/Comerciales</w:t>
      </w:r>
      <w:r>
        <w:rPr>
          <w:lang w:val="es-AR" w:eastAsia="es-AR" w:bidi="es-AR"/>
        </w:rPr>
        <w:t xml:space="preserve">", 29/2/24).</w:t>
      </w:r>
    </w:p>
    <w:p>
      <w:pPr>
        <w:pStyle w:val="[Normal]"/>
        <w:spacing w:line="360" w:lineRule="auto"/>
        <w:ind w:firstLine="1134"/>
        <w:jc w:val="both"/>
        <w:rPr>
          <w:lang w:val="es-AR" w:eastAsia="es-AR" w:bidi="es-AR"/>
        </w:rPr>
      </w:pPr>
      <w:r>
        <w:rPr>
          <w:lang w:val="es-AR" w:eastAsia="es-AR" w:bidi="es-AR"/>
        </w:rPr>
        <w:t xml:space="preserve">Sentado ello, no obra en autos prueba suficiente de la conducta gravemente descalificable que exige la aplicación de esta sanción excepcional (que requiere dolo o grave negligencia en menoscabo del consumidor). La mera existencia de un litigio o de una posición procesal adversa no basta para configurar el presupuesto del daño punitivo. </w:t>
      </w:r>
    </w:p>
    <w:p>
      <w:pPr>
        <w:pStyle w:val="[Normal]"/>
        <w:spacing w:line="360" w:lineRule="auto"/>
        <w:ind w:firstLine="1134"/>
        <w:jc w:val="both"/>
        <w:rPr>
          <w:lang w:val="es-AR" w:eastAsia="es-AR" w:bidi="es-AR"/>
        </w:rPr>
      </w:pPr>
      <w:r>
        <w:rPr>
          <w:lang w:val="es-AR" w:eastAsia="es-AR" w:bidi="es-AR"/>
        </w:rPr>
        <w:t xml:space="preserve">En consecuencia, y por los fundamentos propiciados propongo al Acuerdo el rechazo del rubro daño punitivo.</w:t>
      </w:r>
    </w:p>
    <w:p>
      <w:pPr>
        <w:pStyle w:val="[Normal]"/>
        <w:spacing w:line="360" w:lineRule="auto"/>
        <w:ind w:firstLine="1134"/>
        <w:jc w:val="both"/>
        <w:rPr>
          <w:lang w:val="es-AR" w:eastAsia="es-AR" w:bidi="es-AR"/>
        </w:rPr>
      </w:pPr>
      <w:r>
        <w:rPr>
          <w:lang w:val="es-AR" w:eastAsia="es-AR" w:bidi="es-AR"/>
        </w:rPr>
        <w:t xml:space="preserve">5. Intereses.</w:t>
      </w:r>
    </w:p>
    <w:p>
      <w:pPr>
        <w:pStyle w:val="[Normal]"/>
        <w:spacing w:line="360" w:lineRule="auto"/>
        <w:ind w:firstLine="1134"/>
        <w:jc w:val="both"/>
        <w:rPr>
          <w:lang w:val="es-AR" w:eastAsia="es-AR" w:bidi="es-AR"/>
        </w:rPr>
      </w:pPr>
      <w:r>
        <w:rPr>
          <w:lang w:val="es-AR" w:eastAsia="es-AR" w:bidi="es-AR"/>
        </w:rPr>
        <w:t xml:space="preserve">En punto a los intereses se aplican a los todos los rubros admitidos en el presente fallo una tasa pura del 6% entre la fecha del hecho (</w:t>
      </w:r>
      <w:r>
        <w:rPr>
          <w:lang w:val="es-AR" w:eastAsia="es-AR" w:bidi="es-AR"/>
        </w:rPr>
        <w:t xml:space="preserve">07/04/2025)</w:t>
      </w:r>
      <w:r>
        <w:rPr>
          <w:lang w:val="es-AR" w:eastAsia="es-AR" w:bidi="es-AR"/>
        </w:rPr>
        <w:t xml:space="preserve"> y la presente sentencia. Y de allí en adelante, la tasa pasiva más alta para los depósitos a plazo fijo que paga el Banco Provincia para sus depósitos a 30 días hasta el efectivo pago </w:t>
      </w:r>
      <w:r>
        <w:rPr>
          <w:color w:val="000000"/>
          <w:sz w:val="21"/>
          <w:shd w:val="clear" w:color="auto" w:fill="FFFFFF"/>
          <w:lang w:val="es-AR" w:eastAsia="es-AR" w:bidi="es-AR"/>
        </w:rPr>
        <w:t xml:space="preserve">(</w:t>
      </w:r>
      <w:r>
        <w:rPr>
          <w:lang w:val="es-AR" w:eastAsia="es-AR" w:bidi="es-AR"/>
        </w:rPr>
        <w:t xml:space="preserve">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w:t>
      </w:r>
    </w:p>
    <w:p>
      <w:pPr>
        <w:pStyle w:val="[Normal]"/>
        <w:spacing w:line="360" w:lineRule="auto"/>
        <w:ind w:firstLine="1134"/>
        <w:jc w:val="both"/>
        <w:rPr>
          <w:lang w:val="es-AR" w:eastAsia="es-AR" w:bidi="es-AR"/>
        </w:rPr>
      </w:pPr>
      <w:r>
        <w:rPr>
          <w:lang w:val="es-AR" w:eastAsia="es-AR" w:bidi="es-AR"/>
        </w:rPr>
        <w:t xml:space="preserve">6. La inconstitucionalidad de los arts. 7 y 10 de la Ley 23.928.</w:t>
      </w:r>
    </w:p>
    <w:p>
      <w:pPr>
        <w:pStyle w:val="[Normal]"/>
        <w:spacing w:line="360" w:lineRule="auto"/>
        <w:ind w:firstLine="1134"/>
        <w:jc w:val="both"/>
        <w:rPr>
          <w:lang w:val="es-AR" w:eastAsia="es-AR" w:bidi="es-AR"/>
        </w:rPr>
      </w:pPr>
      <w:r>
        <w:rPr>
          <w:lang w:val="es-AR" w:eastAsia="es-AR" w:bidi="es-AR"/>
        </w:rPr>
        <w:t xml:space="preserve">La actora solicitó la declaración de inconstitucionalidad de los arts. 7 y 10 de la Ley 23.928 y la aplicación de mecanismos de actualización monetaria en los términos de la doctrina legal "Barrios" de la SCBA. </w:t>
      </w:r>
    </w:p>
    <w:p>
      <w:pPr>
        <w:pStyle w:val="[Normal]"/>
        <w:spacing w:line="360" w:lineRule="auto"/>
        <w:ind w:firstLine="1134"/>
        <w:jc w:val="both"/>
        <w:rPr>
          <w:lang w:val="es-AR" w:eastAsia="es-AR" w:bidi="es-AR"/>
        </w:rPr>
      </w:pPr>
      <w:r>
        <w:rPr>
          <w:lang w:val="es-AR" w:eastAsia="es-AR" w:bidi="es-AR"/>
        </w:rPr>
        <w:t xml:space="preserve">La declaración de inconstitucionalidad no encuentra sustento suficiente en las constancias de la causa. Es sabido que la descalificación constitucional de una norma constituye un remedio de excepción y de última ratio, que exige la demostración concreta de una afectación grave y sustancial de derechos constitucionalmente protegidos.</w:t>
      </w:r>
    </w:p>
    <w:p>
      <w:pPr>
        <w:pStyle w:val="[Normal]"/>
        <w:spacing w:line="360" w:lineRule="auto"/>
        <w:ind w:firstLine="1134"/>
        <w:jc w:val="both"/>
        <w:rPr>
          <w:lang w:val="es-AR" w:eastAsia="es-AR" w:bidi="es-AR"/>
        </w:rPr>
      </w:pPr>
      <w:r>
        <w:rPr>
          <w:lang w:val="es-AR" w:eastAsia="es-AR" w:bidi="es-AR"/>
        </w:rPr>
        <w:t xml:space="preserve">En el caso, no se efectuó análisis alguno que permitiera concluir que el régimen aplicable -capital más intereses- resulta insuficiente para preservar el valor económico del crédito, ni se realizó una comparación objetiva que evidenciara una pérdida patrimonial de entidad tal que justificara la invalidez constitucional de los arts. 7 y 10 de la ley 23.928.</w:t>
      </w:r>
    </w:p>
    <w:p>
      <w:pPr>
        <w:pStyle w:val="[Normal]"/>
        <w:spacing w:line="360" w:lineRule="auto"/>
        <w:ind w:firstLine="1134"/>
        <w:jc w:val="both"/>
        <w:rPr>
          <w:lang w:val="es-AR" w:eastAsia="es-AR" w:bidi="es-AR"/>
        </w:rPr>
      </w:pPr>
      <w:r>
        <w:rPr>
          <w:lang w:val="es-AR" w:eastAsia="es-AR" w:bidi="es-AR"/>
        </w:rPr>
        <w:t xml:space="preserve">En consecuencia, no se acreditaron los presupuestos excepcionales que habilitarían la declaración de inconstitucionalidad dispuesta por lo que no corresponde su aplicación.</w:t>
      </w:r>
    </w:p>
    <w:p>
      <w:pPr>
        <w:pStyle w:val="[Normal]"/>
        <w:spacing w:line="360" w:lineRule="auto"/>
        <w:ind w:firstLine="1134"/>
        <w:jc w:val="both"/>
        <w:rPr>
          <w:lang w:val="es-AR" w:eastAsia="es-AR" w:bidi="es-AR"/>
        </w:rPr>
      </w:pPr>
      <w:r>
        <w:rPr>
          <w:lang w:val="es-AR" w:eastAsia="es-AR" w:bidi="es-AR"/>
        </w:rPr>
        <w:t xml:space="preserve">7. Las costas.</w:t>
      </w:r>
    </w:p>
    <w:p>
      <w:pPr>
        <w:pStyle w:val="[Normal]"/>
        <w:spacing w:line="360" w:lineRule="auto"/>
        <w:ind w:firstLine="1134"/>
        <w:jc w:val="both"/>
        <w:rPr>
          <w:lang w:val="es-AR" w:eastAsia="es-AR" w:bidi="es-AR"/>
        </w:rPr>
      </w:pPr>
      <w:r>
        <w:rPr>
          <w:lang w:val="es-AR" w:eastAsia="es-AR" w:bidi="es-AR"/>
        </w:rPr>
        <w:t xml:space="preserve">Dado que la demanda prospera parcialmente en razón de la concurrencia de culpas, las costas de ambas instancias deben imponerse en la proporción de la derrota de cada parte: 30% a cargo de los demandados y la citada en garantía, y 70 % a cargo del actor (art. 71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el actor, en punto al capítulo de responsabilidad, estableciendo desde aquí aportes causales concurrentes en un 30% a cargo de la parte demandada y un 70% a cargo del actor.  En consecuencia, la parte demandada deberá abonar dentro de los 10 días a partir de la notificación de la presente los importes detallados por los rubros admitidos en los considerandos del presente con más los intereses allí establecidos y en la proporción de responsabilidad fallada.</w:t>
      </w:r>
    </w:p>
    <w:p>
      <w:pPr>
        <w:pStyle w:val="[Normal]"/>
        <w:spacing w:line="360" w:lineRule="auto"/>
        <w:ind w:firstLine="1134"/>
        <w:jc w:val="both"/>
        <w:rPr>
          <w:lang w:val="es-AR" w:eastAsia="es-AR" w:bidi="es-AR"/>
        </w:rPr>
      </w:pPr>
      <w:r>
        <w:rPr>
          <w:lang w:val="es-AR" w:eastAsia="es-AR" w:bidi="es-AR"/>
        </w:rPr>
        <w:t xml:space="preserve">Las costas se distribuyen en un 70% a cargo del actor y un 30 % a cargo de la parte demandada (conforme el vencimiento parcial y mutuo decidido (art. 69/71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y peritos hasta tanto obre en autos liquidación firme (art. 51 ley 14.967).</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el actor, en punto al capítulo de responsabilidad, estableciendo desde aquí aportes causales concurrentes en un 30% a cargo de la parte demandada y un 70% a cargo del actor.  En consecuencia, la parte demandada deberá abonar dentro de los 10 días a partir de la notificación de la presente los importes detallados por los rubros admitidos en los considerandos del presente con más los intereses allí establecidos y en la proporción de responsabilidad fallada.</w:t>
      </w:r>
    </w:p>
    <w:p>
      <w:pPr>
        <w:pStyle w:val="[Normal]"/>
        <w:spacing w:line="360" w:lineRule="auto"/>
        <w:ind w:firstLine="1134"/>
        <w:jc w:val="both"/>
        <w:rPr>
          <w:lang w:val="es-AR" w:eastAsia="es-AR" w:bidi="es-AR"/>
        </w:rPr>
      </w:pPr>
      <w:r>
        <w:rPr>
          <w:lang w:val="es-AR" w:eastAsia="es-AR" w:bidi="es-AR"/>
        </w:rPr>
        <w:t xml:space="preserve">Las costas se distribuyen en un 70% a cargo del actor y un 30 % a cargo de la parte demandada (conforme el vencimiento parcial y mutuo decidido (art. 69/71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y peritos hasta tanto obre en autos liquidación firme (art.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27364951448@NOTIFICACIONES.SCBA.GOV.AR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25/06/2026 10:05:05 -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25/06/2026 10:09:04 -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25/06/2026 10:26:19 -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‰8G")è&amp;}</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243902090006932845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25/06/2026 10:27:00 hs. bajo el número RS-108-2026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