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5994-26</w:t>
      </w:r>
      <w:r>
        <w:rPr>
          <w:lang w:val="es-AR" w:eastAsia="es-AR" w:bidi="es-AR"/>
        </w:rPr>
        <w:t xml:space="preserve"> caratulada </w:t>
      </w:r>
      <w:r>
        <w:rPr>
          <w:b/>
          <w:lang w:val="es-AR" w:eastAsia="es-AR" w:bidi="es-AR"/>
        </w:rPr>
        <w:t xml:space="preserve">"</w:t>
      </w:r>
      <w:r>
        <w:rPr>
          <w:b/>
          <w:color w:val="000000"/>
          <w:lang w:val="es-AR" w:eastAsia="es-AR" w:bidi="es-AR"/>
        </w:rPr>
        <w:t xml:space="preserve">FORTI ALFONSO PATRICIO Y OTROS  C/ GIACHELLO ULISES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78.463</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del mismo modo que su inaplicabilidad al caso, a fin de disponer una equitativa actualización del crédito adeudado. Rechazó la excepción de falta de legitimación pasiva opuesta por el codemandado, Sr. Héctor Francisco Mora, con costas en el orden causado atento lo dispuesto en el considerando III "in fine" (Arts 68 y 69 del C.P.C.).  Difirió la regulación de honorarios de los letrados intervinientes, en relación al rechazo de la excepción opuesta, hasta que medie firme la respectiva liquidación de intereses y gastos (arts. 47 y 51 ley 14.967).  Hizo lugar a la demanda incoada y, en consecuencia, condenó a la demandada y la citada en garantía, Sr. Héctor Francisco Mora, el Sr. Francisco Luján Mora Dueñas, el Sr. Ulises Giachello y Paraná S. A. de Seguros, a abonar a la parte actora, Sra. </w:t>
      </w:r>
      <w:r>
        <w:rPr>
          <w:rStyle w:val="STRONG"/>
          <w:b w:val="off"/>
          <w:lang w:val="es-AR" w:eastAsia="es-AR" w:bidi="es-AR"/>
        </w:rPr>
        <w:t xml:space="preserve">Silvina Liliana Leiva, el Sr. Alfonso Patricio Forti, el Sr. Mateo Forti</w:t>
      </w:r>
      <w:r>
        <w:rPr>
          <w:lang w:val="es-AR" w:eastAsia="es-AR" w:bidi="es-AR"/>
        </w:rPr>
        <w:t xml:space="preserve"> y la Sra. </w:t>
      </w:r>
      <w:r>
        <w:rPr>
          <w:rStyle w:val="STRONG"/>
          <w:b w:val="off"/>
          <w:lang w:val="es-AR" w:eastAsia="es-AR" w:bidi="es-AR"/>
        </w:rPr>
        <w:t xml:space="preserve">María Bernarda Forti -aclarando que todos intervienen en carácter de herederos de Don Ricardo Héctor Forti-, </w:t>
      </w:r>
      <w:r>
        <w:rPr>
          <w:lang w:val="es-AR" w:eastAsia="es-AR" w:bidi="es-AR"/>
        </w:rPr>
        <w:t xml:space="preserve">dentro de los diez (10) días de notificada la presente, la suma de Seis millones setecientos treinta y dos mil seiscientos siete Pesos ($6.732.607), actualizable según lo dispuesto en el considerando IX, con más sus respectivos intereses calculados en la forma establecida en el considerando VIII, a partir de la fecha del hecho (05/10/2022) y hasta el momento de su efectivo pago (S.C.B.A., Ac. 2078, C-95.720 del 15/09/2010 y L-118615 del 11/03/2015) (art. 768 C.C.C.N.). Aplicó las costas a la parte demandada y a la citada en garantía que resultan vencidas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el día 11-2-2026 por la parte actora y el 9-2-2026 por el apoderado de demandada y citada en garantía, ambos concedidos el 12-2-226 libremente y con efecto suspensivo.</w:t>
      </w:r>
    </w:p>
    <w:p>
      <w:pPr>
        <w:pStyle w:val="[Normal]"/>
        <w:spacing w:line="360" w:lineRule="auto"/>
        <w:ind w:firstLine="1134"/>
        <w:jc w:val="both"/>
        <w:rPr>
          <w:lang w:val="es-AR" w:eastAsia="es-AR" w:bidi="es-AR"/>
        </w:rPr>
      </w:pPr>
      <w:r>
        <w:rPr>
          <w:lang w:val="es-AR" w:eastAsia="es-AR" w:bidi="es-AR"/>
        </w:rPr>
        <w:t xml:space="preserve">Elevados los autos a esta Alzada con fecha 10-3-2026 se ordenó expresar agravios a la parte actora, quien el 18-3-2026 los fundó.  Con fecha 26-3-2026 se ordenó expresar agravios a la parte demandada y citada en garantía, quien el 6-4-2026 los fundó. El 9-4-2026 se ordenó traslados recíprocos.  Y el 23-4-2026 no habiendo las partes evacuado el traslado conferido se les dió por perdido el derecho dejado de usar y se llamo autos para dictar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1) Se duele la coactora Silvina Liliana Leiva con el patrocinio letrado del Dr. Martín Santinelli contra la sentencia de grado apontocando su crítica sobre los siguientes puntos: a) arbitrariedad en la fijación del límite de vida productivo en 65 años para la aplicación de la fórmula de capitalización destinada a cuantificar la incapacidad sobreviniente b) daño moral solicitando se tome el mismo porcentaje sobre la cuantificación incrementada.</w:t>
      </w:r>
    </w:p>
    <w:p>
      <w:pPr>
        <w:pStyle w:val="[Normal]"/>
        <w:spacing w:line="360" w:lineRule="auto"/>
        <w:ind w:firstLine="1134"/>
        <w:jc w:val="both"/>
        <w:rPr>
          <w:lang w:val="es-AR" w:eastAsia="es-AR" w:bidi="es-AR"/>
        </w:rPr>
      </w:pPr>
      <w:r>
        <w:rPr>
          <w:lang w:val="es-AR" w:eastAsia="es-AR" w:bidi="es-AR"/>
        </w:rPr>
        <w:t xml:space="preserve">2) Agravios apoderada de la citada en garantía Paraná S. A. Seguros y de los Sres Héctor Franciso Mora, Francisco Luján Mora Dueñas y Ulises Giachello, argumentando que la queja engloba a todos ellos con la salvedad que el último agravio corresponde además a Héctor Francisco Mora, a título personal, dado que ha sido demandado y condenado por el sólo hecho de figurar como asegurado, no siendo dueño ni guardián del vehículo siniestrado, tal como quedara acreditado.  La queja entonces discurre sobre los siguientes puntos: 1) excesiva cuantificación del supuesto daño físico sufrido por Forti, siendo que el actor a su criterio no ha probado ninguna actividad productiva constante, ni ingreso fehaciente (de hecho dice que solo ha probado que era jubilado 2) señalando que la incapacidad no es indemnizable per se sino que debe ser acreditada y que aquí no se verifica tal incapacidad como asi tampoco ingreso certero a considerar en las formulas utilizadas por el aquo 3) excesiva cuantificación del daño moral aseverando que debe ser probado, sin que se halle elemento probatorio alguno. 4) excesiva indemnización otorgada en concepto de daño material  5) se queja del otorgamiento de reintegro de gastos médicos y tratamientos cuando se infiere de la causa que fue atendido por única vez en el Hospital San José a causa del accidente 6) se duele de la imposición de costas a los accionados y por el modo de actualización de los rubros 7) se queja de la declaración de inconstitucionalidad de oficio de la prohibición de indexar de los arts. 7 y 10 de la ley23.928 texto según ley 25.561 por entender que son contrarios a los arts. 14, 16, 17 y 28 de la Constitución nacional 8)  en relación propia y exclusiva del Sr. Héctor Francisco Moral se duele de la condena en su calidad de tomador del seguro no habiendo participado del siniestro y no ser titular registral del vehículo involucrado, situación que fue planteada en la defensa de falta de legitimación pasiva, otrora rechazada por el operador de primera instancia.</w:t>
      </w:r>
    </w:p>
    <w:p>
      <w:pPr>
        <w:pStyle w:val="[Normal]"/>
        <w:spacing w:line="360" w:lineRule="auto"/>
        <w:ind w:firstLine="1134"/>
        <w:jc w:val="both"/>
        <w:rPr>
          <w:lang w:val="es-AR" w:eastAsia="es-AR" w:bidi="es-AR"/>
        </w:rPr>
      </w:pPr>
      <w:r>
        <w:rPr>
          <w:lang w:val="es-AR" w:eastAsia="es-AR" w:bidi="es-AR"/>
        </w:rPr>
        <w:t xml:space="preserve">I) Cuestión previa: Alcance del pronunciamiento.</w:t>
      </w:r>
    </w:p>
    <w:p>
      <w:pPr>
        <w:pStyle w:val="[Normal]"/>
        <w:spacing w:line="360" w:lineRule="auto"/>
        <w:ind w:firstLine="1134"/>
        <w:jc w:val="both"/>
        <w:rPr>
          <w:lang w:val="es-AR" w:eastAsia="es-AR" w:bidi="es-AR"/>
        </w:rPr>
      </w:pPr>
      <w:r>
        <w:rPr>
          <w:lang w:val="es-AR" w:eastAsia="es-AR" w:bidi="es-AR"/>
        </w:rPr>
        <w:t xml:space="preserve">Liminarmente corresponde precisar que el objeto de la revisión en alzada queda circunscripto a los agravios formulados por cada parte, que son los únicos que habilitan la jurisdicción revisora de esta Cámara (art. 272 del CPCC), sin que sea posible reformar lo resuelto en perjuicio del recurrente que no apeló ni de quien, habiéndolo hecho, no expresó agravios sobre determinados aspectos (reformatio in pejus).</w:t>
      </w:r>
    </w:p>
    <w:p>
      <w:pPr>
        <w:pStyle w:val="[Normal]"/>
        <w:spacing w:line="360" w:lineRule="auto"/>
        <w:ind w:firstLine="1134"/>
        <w:jc w:val="both"/>
        <w:rPr>
          <w:lang w:val="es-AR" w:eastAsia="es-AR" w:bidi="es-AR"/>
        </w:rPr>
      </w:pPr>
      <w:r>
        <w:rPr>
          <w:lang w:val="es-AR" w:eastAsia="es-AR" w:bidi="es-AR"/>
        </w:rPr>
        <w:t xml:space="preserve">Tal como ha quedado firme la responsabilidad atribuida al codemandado Sr. Francisco Luján Mora Dueñas -por la maniobra negligente de reincorporación al tránsito que provocó el siniestro del 05/10/2022-, así como la atribución solidaria de responsabilidad al dueño registral del rodado Sr. Ulises Giachello y la cobertura de la citada en garantía Paraná S. A. de Seguros, la controversia en esta instancia se ciñe exclusivamente a los puntos reseñados: a) los agravios de la parte actora relativos a la cuantificación de la incapacidad sobreviniente -en especial la edad productiva adoptada- y el daño moral; y b) los agravios de la parte demandada y aseguradora referidos a la entidad de la incapacidad, el daño moral, los gastos de reparación del vehículo, los gastos médicos, los intereses fijados y la declaración de inconstitucionalidad de oficio de la prohibición de indexar, además del agravio exclusivo del codemandado Sr. Héctor Francisco Mora vinculado a su legitimación pasiva.</w:t>
      </w:r>
    </w:p>
    <w:p>
      <w:pPr>
        <w:pStyle w:val="[Normal]"/>
        <w:spacing w:line="360" w:lineRule="auto"/>
        <w:ind w:firstLine="1134"/>
        <w:jc w:val="both"/>
        <w:rPr>
          <w:lang w:val="es-AR" w:eastAsia="es-AR" w:bidi="es-AR"/>
        </w:rPr>
      </w:pPr>
      <w:r>
        <w:rPr>
          <w:lang w:val="es-AR" w:eastAsia="es-AR" w:bidi="es-AR"/>
        </w:rPr>
        <w:t xml:space="preserve">II) En relación a la variable de la edad no voy a atender el agravio desplegado por la quejosa, en tanto se ha dicho en reiterados precedentes de este Tribunal que corresponde computar la edad laboral inicial a partir de los 18 años de edad, por cuanto no hay indicio alguno que permita presumir que la víctima pudiera haber comenzado a trabajar con antelación a su mayoría de edad.  Y el límite final de la edad laboral de la víctima habrá de quedar establecido en 65 años, coincidiendo ello con el parámetro de la edad jubilatoria, siguiendo el precedente sentado en la Causa 4899/23 de esta Alzada.</w:t>
      </w:r>
    </w:p>
    <w:p>
      <w:pPr>
        <w:pStyle w:val="[Normal]"/>
        <w:spacing w:line="360" w:lineRule="auto"/>
        <w:ind w:firstLine="1134"/>
        <w:jc w:val="both"/>
        <w:rPr>
          <w:lang w:val="es-AR" w:eastAsia="es-AR" w:bidi="es-AR"/>
        </w:rPr>
      </w:pPr>
      <w:r>
        <w:rPr>
          <w:lang w:val="es-AR" w:eastAsia="es-AR" w:bidi="es-AR"/>
        </w:rPr>
        <w:t xml:space="preserve">Si bien este Tribunal ha admitido la prolongación de la edad laboral útil más allá del término inicial del etapa jubilatoria, ello ha sido así cuando obran además elementos concretos relacionados con la situación particular del damnificado que permitan suponer con un grado aceptable de razonabilidad la prolongación del término mencionado.  Así, por ejemplo, en la causa "Plaich", mencionada por una de las quejosas, esta Cámara hizo mérito de la referida extensión temporal de la edad laboral útil, pero para ello no se apoyó en referencias abstractas o genéricas, sino que lo hizo con base en las concretas probanzas recolectadas.  No se advierte que este sea un caso que permita excepcionar esa regla general ya aplicada o que se hayan traído probanzas que permitan extenderla.</w:t>
      </w:r>
    </w:p>
    <w:p>
      <w:pPr>
        <w:pStyle w:val="[Normal]"/>
        <w:spacing w:line="360" w:lineRule="auto"/>
        <w:ind w:firstLine="1134"/>
        <w:jc w:val="both"/>
        <w:rPr>
          <w:lang w:val="es-AR" w:eastAsia="es-AR" w:bidi="es-AR"/>
        </w:rPr>
      </w:pPr>
      <w:r>
        <w:rPr>
          <w:lang w:val="es-AR" w:eastAsia="es-AR" w:bidi="es-AR"/>
        </w:rPr>
        <w:t xml:space="preserve">El daño moral fijado en la suma de $ 1.420.000 (arts. 1741 CCCN y art. 165 del C¨CC)  -controvertido por ambos dolientes, aunque por distintas razones- no aparece ni arbitrario ni irrazonable como pretenden, sino que por el contrario, en la difícil tarea de mensuración está perfectamente encuadrada dentro del art. 165 del CPCC y su doctrina.</w:t>
      </w:r>
    </w:p>
    <w:p>
      <w:pPr>
        <w:pStyle w:val="[Normal]"/>
        <w:spacing w:line="360" w:lineRule="auto"/>
        <w:ind w:firstLine="1134"/>
        <w:jc w:val="both"/>
        <w:rPr>
          <w:lang w:val="es-AR" w:eastAsia="es-AR" w:bidi="es-AR"/>
        </w:rPr>
      </w:pPr>
      <w:r>
        <w:rPr>
          <w:lang w:val="es-AR" w:eastAsia="es-AR" w:bidi="es-AR"/>
        </w:rPr>
        <w:t xml:space="preserve">Es sabido, de la dificultad de los jueces para cuantificar el daño moral y que  "... La determinación de las sumas indemnizatorias en concepto de daño moral no está sujeta a reglas fijas. Su reconocimiento y cuantía depende -en principio- del arbitrio judicial para lo cual basta la certeza de que ha existido, sin que sea necesaria otra precisión; constituyendo una típica cuestión de hecho, privativa de los jueces de la órbita ordinaria que no es revisable en la instancia extraordinaria, salvo que se denuncie y demuestre el absurdo..."(SCBA LP C 108654 S 26/10/2016 SCBA C 110722 SCBA LP C 111627 entre tantas otras).</w:t>
      </w:r>
    </w:p>
    <w:p>
      <w:pPr>
        <w:pStyle w:val="[Normal]"/>
        <w:spacing w:line="360" w:lineRule="auto"/>
        <w:ind w:firstLine="1134"/>
        <w:jc w:val="both"/>
        <w:rPr>
          <w:lang w:val="es-AR" w:eastAsia="es-AR" w:bidi="es-AR"/>
        </w:rPr>
      </w:pPr>
      <w:r>
        <w:rPr>
          <w:lang w:val="es-AR" w:eastAsia="es-AR" w:bidi="es-AR"/>
        </w:rPr>
        <w:t xml:space="preserve">Y la tarea de compensar padecimientos sufridos por terceros resulta dificultosa y ello es notorio y visible y tan es así que se ha dicho "... la indemnización dineraria se presenta como una compensación indirecta y siempre imperfecta, pues ninguna suma subsanará los padecimientos de índole personalísimos ..." (cfr.: "Derecho de Daños, Jurisprudencia comentada de la Cámara y Comercial de Pergamino ", Graciela Scaraffia, Adrián Morea y Oscar Aranda).</w:t>
      </w:r>
    </w:p>
    <w:p>
      <w:pPr>
        <w:pStyle w:val="[Normal]"/>
        <w:spacing w:line="360" w:lineRule="auto"/>
        <w:ind w:firstLine="1134"/>
        <w:jc w:val="both"/>
        <w:rPr>
          <w:lang w:val="es-AR" w:eastAsia="es-AR" w:bidi="es-AR"/>
        </w:rPr>
      </w:pPr>
      <w:r>
        <w:rPr>
          <w:lang w:val="es-AR" w:eastAsia="es-AR" w:bidi="es-AR"/>
        </w:rPr>
        <w:t xml:space="preserve">Además, "... Resulta ilustrativo lo reseñado por Matilde Zavala de González cuando señala que el daño moral es imposible de ser mensurado del mismo modo que el material, pero es factible de "hacerlo por una vía no menos real aunque inmaterial: con la balanza de la mente y el metro del espíritu" (Actuaciones por daño). De tal modo que la valoración de la entidad y circunstancias correspondientes al damnificado son pautas clarificadoras para la existencia y magnitud, y en la especie bien meritadas por el operador de primera instancia. Claramente señalan los precedentes y la más prestigiosa doctrina, cuya síntesis expone Silvia Tanzi en "Rubros de la cuenta indemnizatoria de los daños a las personas" que "Respecto del rubro daño moral, en el ámbito extracontractual, nuestra jurisprudencia entiende que no se requiere de prueba acabada, se lo tiene por acreditado por la sola acción antijurídica y lo considera una prueba in re ipsa que surge del hecho mismo" Cfr pág. 93..." (cfr. en tal sentido CAP: 2711-16 caratulados " Restaino   Beatriz  Emilce  c/ Rasuk  Ariel  y otros s/ Daños y Perjuicios").</w:t>
      </w:r>
    </w:p>
    <w:p>
      <w:pPr>
        <w:pStyle w:val="[Normal]"/>
        <w:spacing w:line="360" w:lineRule="auto"/>
        <w:ind w:firstLine="1134"/>
        <w:jc w:val="both"/>
        <w:rPr>
          <w:lang w:val="es-AR" w:eastAsia="es-AR" w:bidi="es-AR"/>
        </w:rPr>
      </w:pPr>
      <w:r>
        <w:rPr>
          <w:lang w:val="es-AR" w:eastAsia="es-AR" w:bidi="es-AR"/>
        </w:rPr>
        <w:t xml:space="preserve">El rubro tiende a resarcir aquella tranquilidad de espíritu que el ordenamiento jurídico protege en la esfera extrapatrimonial de los sujetos y que no requiere de prueba frente al ilícito dada su naturaleza.</w:t>
      </w:r>
    </w:p>
    <w:p>
      <w:pPr>
        <w:pStyle w:val="[Normal]"/>
        <w:spacing w:line="360" w:lineRule="auto"/>
        <w:ind w:firstLine="1134"/>
        <w:jc w:val="both"/>
        <w:rPr>
          <w:lang w:val="es-AR" w:eastAsia="es-AR" w:bidi="es-AR"/>
        </w:rPr>
      </w:pPr>
      <w:r>
        <w:rPr>
          <w:lang w:val="es-AR" w:eastAsia="es-AR" w:bidi="es-AR"/>
        </w:rPr>
        <w:t xml:space="preserve">Respecto de su importe no veo razón para modificar el mismo, en cuanto dentro de las posibilidades la mensuración arroja una cifra que aparece como razonable y la queja de los litigantes  no logra conmover.</w:t>
      </w:r>
    </w:p>
    <w:p>
      <w:pPr>
        <w:pStyle w:val="[Normal]"/>
        <w:spacing w:line="360" w:lineRule="auto"/>
        <w:ind w:firstLine="1134"/>
        <w:jc w:val="both"/>
        <w:rPr>
          <w:lang w:val="es-AR" w:eastAsia="es-AR" w:bidi="es-AR"/>
        </w:rPr>
      </w:pPr>
      <w:r>
        <w:rPr>
          <w:lang w:val="es-AR" w:eastAsia="es-AR" w:bidi="es-AR"/>
        </w:rPr>
        <w:t xml:space="preserve">Otro punto de crisis propuesto por la demandada radica en el importe dado por daño físico del Sr Forti  que considera excesivo, en tanto dice que el actor no ha probado ninguna actividad productiva constante, ni ingresos fehacientes (de hecho señala que solo se ha probado que era jubilado).</w:t>
      </w:r>
    </w:p>
    <w:p>
      <w:pPr>
        <w:pStyle w:val="[Normal]"/>
        <w:spacing w:line="360" w:lineRule="auto"/>
        <w:ind w:firstLine="1134"/>
        <w:jc w:val="both"/>
        <w:rPr>
          <w:lang w:val="es-AR" w:eastAsia="es-AR" w:bidi="es-AR"/>
        </w:rPr>
      </w:pPr>
      <w:r>
        <w:rPr>
          <w:lang w:val="es-AR" w:eastAsia="es-AR" w:bidi="es-AR"/>
        </w:rPr>
        <w:t xml:space="preserve">No hallo déficit de razonamiento alguno en el análisis del operador en este capítulo, otrora detallado y minucioso, que ha tenido en cuenta la pericia médica realizada por el Dr Juan Manuel Lolo (presentación de fecha 08/09/2024, la que evalua como apoyada en principios científicos decidiendo no apartarse de sus conclusiones (arts. 474 y 384 del CPCC).</w:t>
      </w:r>
    </w:p>
    <w:p>
      <w:pPr>
        <w:pStyle w:val="[Normal]"/>
        <w:spacing w:line="360" w:lineRule="auto"/>
        <w:ind w:firstLine="1134"/>
        <w:jc w:val="both"/>
        <w:rPr>
          <w:lang w:val="es-AR" w:eastAsia="es-AR" w:bidi="es-AR"/>
        </w:rPr>
      </w:pPr>
      <w:r>
        <w:rPr>
          <w:lang w:val="es-AR" w:eastAsia="es-AR" w:bidi="es-AR"/>
        </w:rPr>
        <w:t xml:space="preserve">En cuanto a la pericia médica del Dr. Juan Manuel Lolo, el uso del modo potencial en un dictamen pericial basado en documental -ante la imposibilidad de examen directo del causante fallecido- no invalida sus conclusiones. El perito aplicó el Baremo General de Altube-Rinaldi (fuero civil) para cuantificar las secuelas de las fracturas acreditadas documentalmente (muñeca izquierda y platillo tibial derecho), obteniendo un 19% por sumatoria de Balthazard. El sentenciante valoró correctamente esa pericia como inobjetable en sus fundamentos científicos (arts. 474 y 384 del CPCC), y esta Cámara no encuentra mérito para apartarse de ella. El hecho de que la consolidación ósea sea el proceso natural de curación no elimina las secuelas articulares crónicas que comprometen superficies articulares, como señaló fundadamente el perito.</w:t>
      </w:r>
    </w:p>
    <w:p>
      <w:pPr>
        <w:pStyle w:val="[Normal]"/>
        <w:spacing w:line="360" w:lineRule="auto"/>
        <w:ind w:firstLine="1134"/>
        <w:jc w:val="both"/>
        <w:rPr>
          <w:lang w:val="es-AR" w:eastAsia="es-AR" w:bidi="es-AR"/>
        </w:rPr>
      </w:pPr>
      <w:r>
        <w:rPr>
          <w:lang w:val="es-AR" w:eastAsia="es-AR" w:bidi="es-AR"/>
        </w:rPr>
        <w:t xml:space="preserve">Respecto de la base salarial adoptada, es doctrina reiterada que cuando la víctima no ha acreditado ingresos concretos -como ocurre con trabajos informales o en negro- corresponde al juez estimar una retribución tomando como referencia el SMVM, pauta que no resulta ni irrazonable ni arbitraria. La circunstancia de que el causante fuera jubilado no obsta a esta conclusión, pues el ingreso de referencia computa la actividad laboral complementaria que efectivamente desarrollaba, no el haber jubilatorio. Se rechaza el agravio.</w:t>
      </w:r>
    </w:p>
    <w:p>
      <w:pPr>
        <w:pStyle w:val="[Normal]"/>
        <w:spacing w:line="360" w:lineRule="auto"/>
        <w:ind w:firstLine="1134"/>
        <w:jc w:val="both"/>
        <w:rPr>
          <w:lang w:val="es-AR" w:eastAsia="es-AR" w:bidi="es-AR"/>
        </w:rPr>
      </w:pPr>
      <w:r>
        <w:rPr>
          <w:lang w:val="es-AR" w:eastAsia="es-AR" w:bidi="es-AR"/>
        </w:rPr>
        <w:t xml:space="preserve">Tuvo en cuenta las siguientes variables: la edad de Forti (60 años a la fecha del acta de procedimiento de la causa penal de fs 3), y consideró que no acreditándose el ingreso (art. 375 del CPCC) en forma efectiva, correspondía estimar una retribución actual tomando como pauta el salario mínimo vital y móvil determinado por el Consejo Nacional del Empleo, la productividad y el salario mínimo vital y móvil dependiente del Ministerio de Trabajo, ascendiendo a la fecha del cálculo a la suma de $ 334.800, y con esa base estableció un período de los ingresos de la victima con un promedio proyectado de $ 4.352.400 con base en el salario percibido, incluyendo un SAC, una tasa de descuento pura del 4 % y un porcentaje de incapacidad del 19%.</w:t>
      </w:r>
    </w:p>
    <w:p>
      <w:pPr>
        <w:pStyle w:val="[Normal]"/>
        <w:spacing w:line="360" w:lineRule="auto"/>
        <w:ind w:firstLine="1134"/>
        <w:jc w:val="both"/>
        <w:rPr>
          <w:lang w:val="es-AR" w:eastAsia="es-AR" w:bidi="es-AR"/>
        </w:rPr>
      </w:pPr>
      <w:r>
        <w:rPr>
          <w:lang w:val="es-AR" w:eastAsia="es-AR" w:bidi="es-AR"/>
        </w:rPr>
        <w:t xml:space="preserve">Desde estos parámetros recurre a las fórmulas que explica claramente siendo inobjetable el cálculo realizado y el resultado alcanzado, que los agravios no logran neutralizar, por lo que ha de confirmarse el rubro y el importe dado.</w:t>
      </w:r>
    </w:p>
    <w:p>
      <w:pPr>
        <w:pStyle w:val="[Normal]"/>
        <w:spacing w:line="360" w:lineRule="auto"/>
        <w:ind w:firstLine="1134"/>
        <w:jc w:val="both"/>
        <w:rPr>
          <w:lang w:val="es-AR" w:eastAsia="es-AR" w:bidi="es-AR"/>
        </w:rPr>
      </w:pPr>
      <w:r>
        <w:rPr>
          <w:lang w:val="es-AR" w:eastAsia="es-AR" w:bidi="es-AR"/>
        </w:rPr>
        <w:t xml:space="preserve">Sabido es que  "La cuantificación no sólo puede ser fijada por aplicación de un criterio matemático sino que mantienen vigor los criterios interpretativos para cuantificar los daños con la condición que brinde fundamentos bastante, argumentos que permitan el necesario control y oportuno ejercicio del derecho de defensa", en un claro seguimiento de lo que este Tribunal ha dicho en reiteradas oportunidades.</w:t>
      </w:r>
    </w:p>
    <w:p>
      <w:pPr>
        <w:pStyle w:val="[Normal]"/>
        <w:spacing w:line="360" w:lineRule="auto"/>
        <w:ind w:firstLine="1134"/>
        <w:jc w:val="both"/>
        <w:rPr>
          <w:lang w:val="es-AR" w:eastAsia="es-AR" w:bidi="es-AR"/>
        </w:rPr>
      </w:pPr>
      <w:r>
        <w:rPr>
          <w:lang w:val="es-AR" w:eastAsia="es-AR" w:bidi="es-AR"/>
        </w:rPr>
        <w:t xml:space="preserve">Desde esa perspectiva ha meritado las lesiones padecidas, la edad al momento del accidente, el tiempo de recuperación, la afectación social, toda esta tarea valorativa luce irreprochable y no ha sido neutralizada por la queja.</w:t>
      </w:r>
    </w:p>
    <w:p>
      <w:pPr>
        <w:pStyle w:val="[Normal]"/>
        <w:spacing w:line="360" w:lineRule="auto"/>
        <w:ind w:firstLine="1134"/>
        <w:jc w:val="both"/>
        <w:rPr>
          <w:lang w:val="es-AR" w:eastAsia="es-AR" w:bidi="es-AR"/>
        </w:rPr>
      </w:pPr>
      <w:r>
        <w:rPr>
          <w:lang w:val="es-AR" w:eastAsia="es-AR" w:bidi="es-AR"/>
        </w:rPr>
        <w:t xml:space="preserve">Es decir que los fundamentos dados en sentencia dan por tierra la queja del recurrente, ya que mal se puede calificar de abstracta la indemnización cuando se han dado amplios fundamentos para justipreciar el valor final asignado.</w:t>
      </w:r>
    </w:p>
    <w:p>
      <w:pPr>
        <w:pStyle w:val="[Normal]"/>
        <w:spacing w:line="360" w:lineRule="auto"/>
        <w:ind w:firstLine="1134"/>
        <w:jc w:val="both"/>
        <w:rPr>
          <w:lang w:val="es-AR" w:eastAsia="es-AR" w:bidi="es-AR"/>
        </w:rPr>
      </w:pPr>
      <w:r>
        <w:rPr>
          <w:lang w:val="es-AR" w:eastAsia="es-AR" w:bidi="es-AR"/>
        </w:rPr>
        <w:t xml:space="preserve">Insisto, el daño indemnizable derivado de una situación incapacitante no sólo debe comprender el menoscabo de las aptitudes laborativas o frustración de los ingresos de la víctima, sino también la integral afectación de su personalidad en su vida personal y de relación.</w:t>
      </w:r>
    </w:p>
    <w:p>
      <w:pPr>
        <w:pStyle w:val="[Normal]"/>
        <w:spacing w:line="360" w:lineRule="auto"/>
        <w:ind w:firstLine="1134"/>
        <w:jc w:val="both"/>
        <w:rPr>
          <w:lang w:val="es-AR" w:eastAsia="es-AR" w:bidi="es-AR"/>
        </w:rPr>
      </w:pPr>
      <w:r>
        <w:rPr>
          <w:lang w:val="es-AR" w:eastAsia="es-AR" w:bidi="es-AR"/>
        </w:rPr>
        <w:t xml:space="preserve">El art. 1746 del CCyC discurre en esa línea al englobar ambos tipos de incapacidades: las relativas a “actividades productivas” y las relativas a “económicamente valorables”.</w:t>
      </w:r>
    </w:p>
    <w:p>
      <w:pPr>
        <w:pStyle w:val="[Normal]"/>
        <w:spacing w:line="360" w:lineRule="auto"/>
        <w:ind w:firstLine="1134"/>
        <w:jc w:val="both"/>
        <w:rPr>
          <w:lang w:val="es-AR" w:eastAsia="es-AR" w:bidi="es-AR"/>
        </w:rPr>
      </w:pPr>
      <w:r>
        <w:rPr>
          <w:lang w:val="es-AR" w:eastAsia="es-AR" w:bidi="es-AR"/>
        </w:rPr>
        <w:t xml:space="preserve">Y por otro, este replanteo de la cuestión deviene congruente con la dignidad de la persona como valor supremo a tutelar por el ordenamiento jurídico, erigiéndose como la médula del sistema del derecho de daños.  Esa dignidad está en la actualidad asociada a múltiples aspectos de la existencia humana.  Ello parte de un cambio revolucionario que marca un contraste entre el humanismo actual y la deshumanización del derecho anterior.  Se trata del paso de una concepción patrimonialista del daño centrada en un hombre que vale por lo que tiene o produce, hacia una concepción personalista del perjuicio que pone el acento en lo que el hombre es.</w:t>
      </w:r>
    </w:p>
    <w:p>
      <w:pPr>
        <w:pStyle w:val="[Normal]"/>
        <w:spacing w:line="360" w:lineRule="auto"/>
        <w:ind w:firstLine="1134"/>
        <w:jc w:val="both"/>
        <w:rPr>
          <w:lang w:val="es-AR" w:eastAsia="es-AR" w:bidi="es-AR"/>
        </w:rPr>
      </w:pPr>
      <w:r>
        <w:rPr>
          <w:lang w:val="es-AR" w:eastAsia="es-AR" w:bidi="es-AR"/>
        </w:rPr>
        <w:t xml:space="preserve">Esta interpretación encuentra sólido sustento en la escala de valores del Código Civil y Comercial que entroniza a la persona humana como centro de protección del sistema.  Y en varias disposiciones alude al concepto de dignidad personal (vgr., art. 1097 del CCyC), que debe ser interpretado conforme a los criterios generales emergentes de los tratados de derechos humanos (art. 1 y 2 del CCyC).</w:t>
      </w:r>
    </w:p>
    <w:p>
      <w:pPr>
        <w:pStyle w:val="[Normal]"/>
        <w:spacing w:line="360" w:lineRule="auto"/>
        <w:ind w:firstLine="1134"/>
        <w:jc w:val="both"/>
        <w:rPr>
          <w:lang w:val="es-AR" w:eastAsia="es-AR" w:bidi="es-AR"/>
        </w:rPr>
      </w:pPr>
      <w:r>
        <w:rPr>
          <w:lang w:val="es-AR" w:eastAsia="es-AR" w:bidi="es-AR"/>
        </w:rPr>
        <w:t xml:space="preserve">Respecto del Daño material: gastos de reparación del vehículo.</w:t>
      </w:r>
    </w:p>
    <w:p>
      <w:pPr>
        <w:pStyle w:val="[Normal]"/>
        <w:spacing w:line="360" w:lineRule="auto"/>
        <w:ind w:firstLine="1134"/>
        <w:jc w:val="both"/>
        <w:rPr>
          <w:lang w:val="es-AR" w:eastAsia="es-AR" w:bidi="es-AR"/>
        </w:rPr>
      </w:pPr>
      <w:r>
        <w:rPr>
          <w:lang w:val="es-AR" w:eastAsia="es-AR" w:bidi="es-AR"/>
        </w:rPr>
        <w:t xml:space="preserve">La demandada se agravia de la suma de $1.150.000 otorgada por gastos de reparación de la motocicleta Honda del causante, cuestionando que el perito mecánico no inspeccionó el rodado sino que se basó en la documental obrante en la causa penal. Este punto  no puede prosperar.</w:t>
      </w:r>
    </w:p>
    <w:p>
      <w:pPr>
        <w:pStyle w:val="[Normal]"/>
        <w:spacing w:line="360" w:lineRule="auto"/>
        <w:ind w:firstLine="1134"/>
        <w:jc w:val="both"/>
        <w:rPr>
          <w:lang w:val="es-AR" w:eastAsia="es-AR" w:bidi="es-AR"/>
        </w:rPr>
      </w:pPr>
      <w:r>
        <w:rPr>
          <w:lang w:val="es-AR" w:eastAsia="es-AR" w:bidi="es-AR"/>
        </w:rPr>
        <w:t xml:space="preserve">El perito mecánico evaluó el daño con base en el informe de daños de fs. 29 de la causa penal y el presupuesto obrante en autos, determinando que los valores eran coherentes con los de mercado y que el incremento porcentual del presupuesto original a la fecha del informe rondaba entre el 590% y el 600%. La metodología pericial es válida cuando no es posible inspeccionar el rodado -en especial cuando, transcurrido el tiempo, el vehículo no se halla disponible-, y la demandada no ofreció prueba tendiente a demostrar un valor menor ni señaló en su impugnación un presupuesto alternativo concreto. El Juez de grado ponderó razonablemente el proceso inflacionario al fijar la suma de condena. Se rechaza el agravio.</w:t>
      </w:r>
    </w:p>
    <w:p>
      <w:pPr>
        <w:pStyle w:val="[Normal]"/>
        <w:spacing w:line="360" w:lineRule="auto"/>
        <w:ind w:firstLine="1134"/>
        <w:jc w:val="both"/>
        <w:rPr>
          <w:lang w:val="es-AR" w:eastAsia="es-AR" w:bidi="es-AR"/>
        </w:rPr>
      </w:pPr>
      <w:r>
        <w:rPr>
          <w:lang w:val="es-AR" w:eastAsia="es-AR" w:bidi="es-AR"/>
        </w:rPr>
        <w:t xml:space="preserve">Respecto de los  Gastos médicos y de traslado:</w:t>
      </w:r>
    </w:p>
    <w:p>
      <w:pPr>
        <w:pStyle w:val="[Normal]"/>
        <w:spacing w:line="360" w:lineRule="auto"/>
        <w:ind w:firstLine="1134"/>
        <w:jc w:val="both"/>
        <w:rPr>
          <w:lang w:val="es-AR" w:eastAsia="es-AR" w:bidi="es-AR"/>
        </w:rPr>
      </w:pPr>
      <w:r>
        <w:rPr>
          <w:lang w:val="es-AR" w:eastAsia="es-AR" w:bidi="es-AR"/>
        </w:rPr>
        <w:t xml:space="preserve">La demandada se agravia de la suma de $100.000 por gastos médicos, farmacéuticos y de traslado, señalando que el causante habría sido atendido una sola vez en el hospital, sin erogaciones propias, y que no se acompañaron comprobantes.</w:t>
      </w:r>
    </w:p>
    <w:p>
      <w:pPr>
        <w:pStyle w:val="[Normal]"/>
        <w:spacing w:line="360" w:lineRule="auto"/>
        <w:ind w:firstLine="1134"/>
        <w:jc w:val="both"/>
        <w:rPr>
          <w:lang w:val="es-AR" w:eastAsia="es-AR" w:bidi="es-AR"/>
        </w:rPr>
      </w:pPr>
      <w:r>
        <w:rPr>
          <w:lang w:val="es-AR" w:eastAsia="es-AR" w:bidi="es-AR"/>
        </w:rPr>
        <w:t xml:space="preserve">El agravio no prospera. Es jurisprudencia constante en el fuero civil y comercial que los gastos menores vinculados a la atención de lesiones de urgencia se presumen sin necesidad de comprobantes, por tratarse de erogaciones respecto de las cuales habitualmente no se expiden recibos (arts. 1746 CCCN y 165 CPCC). Las lesiones sufridas por el causante -fracturas de muñeca y platillo tibial con internación en Hospital Interzonal- justifican gastos de farmacia, traslado, controles y elementos ortopédicos adicionales. La suma fijada por el a quo es módica y guarda razonable proporcionalidad con la entidad de las lesiones. Se rechaza el agravio.</w:t>
      </w:r>
    </w:p>
    <w:p>
      <w:pPr>
        <w:pStyle w:val="[Normal]"/>
        <w:spacing w:line="360" w:lineRule="auto"/>
        <w:ind w:firstLine="1134"/>
        <w:jc w:val="both"/>
        <w:rPr>
          <w:lang w:val="es-AR" w:eastAsia="es-AR" w:bidi="es-AR"/>
        </w:rPr>
      </w:pPr>
      <w:r>
        <w:rPr>
          <w:lang w:val="es-AR" w:eastAsia="es-AR" w:bidi="es-AR"/>
        </w:rPr>
        <w:t xml:space="preserve">En punto a los  intereses y tasa aplicada la demandada cuestiona la aplicación de un interés compensatorio del 6% anual desde la fecha del hecho, junto con el posterior interés moratorio a la tasa pasiva más alta del Banco Provincia, sosteniendo que ello sería desproporcionado y contrario a la doctrina sentada por la CSJN en la causa "Lacuadra" (sentencia del 13/08/2024).</w:t>
      </w:r>
    </w:p>
    <w:p>
      <w:pPr>
        <w:pStyle w:val="[Normal]"/>
        <w:spacing w:line="360" w:lineRule="auto"/>
        <w:ind w:firstLine="1134"/>
        <w:jc w:val="both"/>
        <w:rPr>
          <w:lang w:val="es-AR" w:eastAsia="es-AR" w:bidi="es-AR"/>
        </w:rPr>
      </w:pPr>
      <w:r>
        <w:rPr>
          <w:lang w:val="es-AR" w:eastAsia="es-AR" w:bidi="es-AR"/>
        </w:rPr>
        <w:t xml:space="preserve">El agravio no puede acogerse. La tasa de interés compensatorio del 6% anual es moderada y tiene por finalidad compensar la privación del capital durante el período que va desde el hecho dañoso hasta el efectivo pago, en el marco de una sentencia que ya cuantifica el daño a valores actualizados. La combinación de un valor actualizado con una tasa compensatoria baja no implica una doble indexación prohibida, sino la forma constitucionalmente válida de garantizar la reparación integral del daño en contextos de depreciación monetaria significativa (cfr. SCBA, C. 124.096, "Barrios c/ Lascano").</w:t>
      </w:r>
    </w:p>
    <w:p>
      <w:pPr>
        <w:pStyle w:val="[Normal]"/>
        <w:spacing w:line="360" w:lineRule="auto"/>
        <w:ind w:firstLine="1134"/>
        <w:jc w:val="both"/>
        <w:rPr>
          <w:lang w:val="es-AR" w:eastAsia="es-AR" w:bidi="es-AR"/>
        </w:rPr>
      </w:pPr>
      <w:r>
        <w:rPr>
          <w:lang w:val="es-AR" w:eastAsia="es-AR" w:bidi="es-AR"/>
        </w:rPr>
        <w:t xml:space="preserve">En cuanto al interés moratorio a la tasa pasiva más alta del Banco de la Provincia (cfr. SCBA, "Ponce", "Ginossi", "Cabrera"), la doctrina legal del Superior Tribunal Provincial sigue siendo aplicable en el fuero civil bonaerense. Se rechaza el agravio.</w:t>
      </w:r>
    </w:p>
    <w:p>
      <w:pPr>
        <w:pStyle w:val="[Normal]"/>
        <w:spacing w:line="360" w:lineRule="auto"/>
        <w:ind w:firstLine="1134"/>
        <w:jc w:val="both"/>
        <w:rPr>
          <w:lang w:val="es-AR" w:eastAsia="es-AR" w:bidi="es-AR"/>
        </w:rPr>
      </w:pPr>
      <w:r>
        <w:rPr>
          <w:lang w:val="es-AR" w:eastAsia="es-AR" w:bidi="es-AR"/>
        </w:rPr>
        <w:t xml:space="preserve">III) Agravio exclusivo del Sr. Héctor Francisco Mora: falta de legitimación pasiva.</w:t>
      </w:r>
    </w:p>
    <w:p>
      <w:pPr>
        <w:pStyle w:val="[Normal]"/>
        <w:spacing w:line="360" w:lineRule="auto"/>
        <w:ind w:firstLine="1134"/>
        <w:jc w:val="both"/>
        <w:rPr>
          <w:lang w:val="es-AR" w:eastAsia="es-AR" w:bidi="es-AR"/>
        </w:rPr>
      </w:pPr>
      <w:r>
        <w:rPr>
          <w:lang w:val="es-AR" w:eastAsia="es-AR" w:bidi="es-AR"/>
        </w:rPr>
        <w:t xml:space="preserve">El codemandado Sr. Héctor Francisco Mora reitera en esta instancia que no es dueño ni guardián del rodado interviniente -cuya titularidad fue acreditada en cabeza del Sr. Ulises Giachello- ni lo conducía al momento del hecho -quien lo hacía era el Sr. Francisco Luján Mora Dueñas-, siendo únicamente el tomador de la póliza de seguro suscripta con Paraná S. A. de Seguros. Solicita se haga lugar a la excepción de falta de legitimación pasiva rechazada por el a quo.</w:t>
      </w:r>
    </w:p>
    <w:p>
      <w:pPr>
        <w:pStyle w:val="[Normal]"/>
        <w:spacing w:line="360" w:lineRule="auto"/>
        <w:ind w:firstLine="1134"/>
        <w:jc w:val="both"/>
        <w:rPr>
          <w:lang w:val="es-AR" w:eastAsia="es-AR" w:bidi="es-AR"/>
        </w:rPr>
      </w:pPr>
      <w:r>
        <w:rPr>
          <w:lang w:val="es-AR" w:eastAsia="es-AR" w:bidi="es-AR"/>
        </w:rPr>
        <w:t xml:space="preserve">Propicio su rechazo. El sentenciante de grado explicó correctamente que, en el régimen del contrato de seguro automotor (art. 118 de la ley 17.418), la condena al asegurador citado en garantía presupone inexcusablemente el emplazamiento a juicio del asegurado, pues la sentencia que se dicte contra este último hace cosa juzgada respecto de la aseguradora y es ejecutable contra ella en la medida del seguro. El Sr. Héctor Francisco Mora fue demandado en su calidad de asegurado -tomador de la póliza-, y esa condición habilita su citación al proceso para que, a través de él, pueda activarse la cobertura asegurativa. Esta solución no implica imputarle responsabilidad civil propia por el hecho dañoso, sino simplemente posibilitar la citación en garantía de la aseguradora. Las costas de la incidencia se mantienen en el orden causado, conforme lo dispuesto por el a quo, en atención a que el excepcionante pudo razonablemente creer que tenía razón al oponer la defensa (arts. 68 y 69 del CPCC). </w:t>
      </w:r>
    </w:p>
    <w:p>
      <w:pPr>
        <w:pStyle w:val="[Normal]"/>
        <w:spacing w:line="360" w:lineRule="auto"/>
        <w:ind w:firstLine="1134"/>
        <w:jc w:val="both"/>
        <w:rPr>
          <w:lang w:val="es-AR" w:eastAsia="es-AR" w:bidi="es-AR"/>
        </w:rPr>
      </w:pPr>
      <w:r>
        <w:rPr>
          <w:lang w:val="es-AR" w:eastAsia="es-AR" w:bidi="es-AR"/>
        </w:rPr>
        <w:t xml:space="preserve">IV) Respecto del agravio vinculado con la declaración de inconstitucionalidad de oficio de los arts. 7 y 10 de la ley 23.928, adelanto que le asiste razón a la recurrente.</w:t>
      </w:r>
    </w:p>
    <w:p>
      <w:pPr>
        <w:pStyle w:val="[Normal]"/>
        <w:spacing w:line="360" w:lineRule="auto"/>
        <w:ind w:firstLine="1134"/>
        <w:jc w:val="both"/>
        <w:rPr>
          <w:lang w:val="es-AR" w:eastAsia="es-AR" w:bidi="es-AR"/>
        </w:rPr>
      </w:pPr>
      <w:r>
        <w:rPr>
          <w:lang w:val="es-AR" w:eastAsia="es-AR" w:bidi="es-AR"/>
        </w:rPr>
        <w:t xml:space="preserve">La cuestión constitucional que sustentó la decisión de grado no fue introducida por la parte actora ni integró los términos en que quedó trabada la litis. Tampoco se formuló petición alguna tendiente a obtener la actualización monetaria del crédito ni se promovió un planteo concreto de invalidez constitucional de las normas mencionadas.</w:t>
      </w:r>
    </w:p>
    <w:p>
      <w:pPr>
        <w:pStyle w:val="[Normal]"/>
        <w:spacing w:line="360" w:lineRule="auto"/>
        <w:ind w:firstLine="1134"/>
        <w:jc w:val="both"/>
        <w:rPr>
          <w:lang w:val="es-AR" w:eastAsia="es-AR" w:bidi="es-AR"/>
        </w:rPr>
      </w:pPr>
      <w:r>
        <w:rPr>
          <w:lang w:val="es-AR" w:eastAsia="es-AR" w:bidi="es-AR"/>
        </w:rPr>
        <w:t xml:space="preserve">En tales condiciones, la decisión apelada incorporó de oficio una cuestión ajena al debate procesal. Si bien la jurisprudencia admite, en determinados supuestos, el control de constitucionalidad de oficio, ello no habilita a los jueces a prescindir de los principios de congruencia y defensa en juicio que delimitan el ámbito de la controversia.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Calibri" w:hAnsi="Calibri" w:eastAsia="Calibri" w:cs="Calibri"/>
          <w:sz w:val="22"/>
          <w:lang w:val="es-AR" w:eastAsia="es-AR" w:bidi="es-AR"/>
        </w:rPr>
      </w:pPr>
      <w:r>
        <w:rPr>
          <w:rFonts w:ascii="Arial" w:hAnsi="Arial" w:eastAsia="Arial" w:cs="Arial"/>
          <w:lang w:val="es-AR" w:eastAsia="es-AR" w:bidi="es-AR"/>
        </w:rPr>
        <w:t xml:space="preserve">En este sentido, la Sala II de la Cámara de Apelación en lo Civil y Comercial de Mar del Plata, en la causa “Crego c/ Plantel S.A.” (Expte. n° 170.778 sentencia del 14/04/2026), descartó la aplicación de la doctrina emanada de “Barrios” al advertir que la parte actora no había solicitado indexación ni articulado cuestionamiento constitucional alguno, concluyendo que la cuestión no integraba el thema decidendum. Asimismo, recordó la doctrina de la Corte Suprema en los precedentes “Raco” y “Perret”, conforme a la cual aun el control de constitucionalidad ejercido de oficio debe respetar el principio de congruencia y las garantías del debido proceso.</w:t>
      </w:r>
    </w:p>
    <w:p>
      <w:pPr>
        <w:pStyle w:val="[Normal]"/>
        <w:spacing w:line="360" w:lineRule="auto"/>
        <w:ind w:firstLine="1134"/>
        <w:jc w:val="both"/>
        <w:rPr>
          <w:lang w:val="es-AR" w:eastAsia="es-AR" w:bidi="es-AR"/>
        </w:rPr>
      </w:pPr>
      <w:r>
        <w:rPr>
          <w:lang w:val="es-AR" w:eastAsia="es-AR" w:bidi="es-AR"/>
        </w:rPr>
        <w:t xml:space="preserve">Pero aún soslayando dicha objeción procesal, la declaración de inconstitucionalidad tampoco encuentra sustento suficiente en las constancias de la causa. Es sabido que la descalificación constitucional de una norma constituye un remedio de excepción y de última ratio, que exige la demostración concreta de una afectación grave y sustancial de derechos constitucionalmente protegidos.</w:t>
      </w:r>
    </w:p>
    <w:p>
      <w:pPr>
        <w:pStyle w:val="[Normal]"/>
        <w:spacing w:line="360" w:lineRule="auto"/>
        <w:ind w:firstLine="1134"/>
        <w:jc w:val="both"/>
        <w:rPr>
          <w:lang w:val="es-AR" w:eastAsia="es-AR" w:bidi="es-AR"/>
        </w:rPr>
      </w:pPr>
      <w:r>
        <w:rPr>
          <w:lang w:val="es-AR" w:eastAsia="es-AR" w:bidi="es-AR"/>
        </w:rPr>
        <w:t xml:space="preserve">En el caso, no se efectuó análisis alguno que permitiera concluir que el régimen aplicable -capital más intereses- resultaba insuficiente para preservar el valor económico del crédito, ni se realizó una comparación objetiva que evidenciara una pérdida patrimonial de entidad tal que justificara la invalidez constitucional de los arts. 7 y 10 de la ley 23.928.</w:t>
      </w:r>
    </w:p>
    <w:p>
      <w:pPr>
        <w:pStyle w:val="[Normal]"/>
        <w:spacing w:line="360" w:lineRule="auto"/>
        <w:ind w:firstLine="1134"/>
        <w:jc w:val="both"/>
        <w:rPr>
          <w:lang w:val="es-AR" w:eastAsia="es-AR" w:bidi="es-AR"/>
        </w:rPr>
      </w:pPr>
      <w:r>
        <w:rPr>
          <w:lang w:val="es-AR" w:eastAsia="es-AR" w:bidi="es-AR"/>
        </w:rPr>
        <w:t xml:space="preserve">En consecuencia, la cuestión fue introducida al margen de los términos de la litis y, además, no se acreditaron los presupuestos excepcionales que habilitarían la declaración de inconstitucionalidad dispuesta.</w:t>
      </w:r>
    </w:p>
    <w:p>
      <w:pPr>
        <w:pStyle w:val="[Normal]"/>
        <w:spacing w:line="360" w:lineRule="auto"/>
        <w:ind w:firstLine="1134"/>
        <w:jc w:val="both"/>
        <w:rPr>
          <w:lang w:val="es-AR" w:eastAsia="es-AR" w:bidi="es-AR"/>
        </w:rPr>
      </w:pPr>
      <w:r>
        <w:rPr>
          <w:lang w:val="es-AR" w:eastAsia="es-AR" w:bidi="es-AR"/>
        </w:rPr>
        <w:t xml:space="preserve">Por ello, corresponde hacer lugar al agravio, revocar la declaración de inconstitucionalidad de oficio de los arts. 7 y 10 de la ley 23.928 y dejar sin efecto la actualización por IPC establecida en la sentencia apelada.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los recursos de apelación de la parte actora y hacer lugar parcialmente al de la parte demandada, dejando sin efecto la declaración de inconstitucionalidad por los fundamentos dados en los considerandos del presente.</w:t>
      </w:r>
    </w:p>
    <w:p>
      <w:pPr>
        <w:pStyle w:val="[Normal]"/>
        <w:spacing w:line="360" w:lineRule="auto"/>
        <w:ind w:firstLine="1134"/>
        <w:jc w:val="both"/>
        <w:rPr>
          <w:lang w:val="es-AR" w:eastAsia="es-AR" w:bidi="es-AR"/>
        </w:rPr>
      </w:pPr>
      <w:r>
        <w:rPr>
          <w:lang w:val="es-AR" w:eastAsia="es-AR" w:bidi="es-AR"/>
        </w:rPr>
        <w:t xml:space="preserve">Confirmando la sentencia de grado en todas sus partes.</w:t>
      </w:r>
    </w:p>
    <w:p>
      <w:pPr>
        <w:pStyle w:val="[Normal]"/>
        <w:spacing w:line="360" w:lineRule="auto"/>
        <w:ind w:firstLine="1134"/>
        <w:jc w:val="both"/>
        <w:rPr>
          <w:lang w:val="es-AR" w:eastAsia="es-AR" w:bidi="es-AR"/>
        </w:rPr>
      </w:pPr>
      <w:r>
        <w:rPr>
          <w:lang w:val="es-AR" w:eastAsia="es-AR" w:bidi="es-AR"/>
        </w:rPr>
        <w:t xml:space="preserve">Imponer las costas de Alzada en un 70 % por ciento a cargo de la parte demandada (art. 68 del CPCC y su doctrina) en tanto si bien se hizo lugar a un planteo, la sentencia ratifica el progreso general de la acción.</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liquidación firme (art.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los recursos de apelación de la parte actora y hacer lugar parcialmente al de la parte demandada, dejando sin efecto la declaración de inconstitucionalidad por los fundamentos dados en los considerandos del presente.</w:t>
      </w:r>
    </w:p>
    <w:p>
      <w:pPr>
        <w:pStyle w:val="[Normal]"/>
        <w:spacing w:line="360" w:lineRule="auto"/>
        <w:ind w:firstLine="1134"/>
        <w:jc w:val="both"/>
        <w:rPr>
          <w:lang w:val="es-AR" w:eastAsia="es-AR" w:bidi="es-AR"/>
        </w:rPr>
      </w:pPr>
      <w:r>
        <w:rPr>
          <w:lang w:val="es-AR" w:eastAsia="es-AR" w:bidi="es-AR"/>
        </w:rPr>
        <w:t xml:space="preserve">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Imponer las costas de Alzada en un 70 % por ciento a cargo de la parte demandada (art. 68 del CPCC y su doctrina) en tanto si bien se hizo lugar a un planteo, la sentencia ratifica el progreso general de la acción.</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liquidación firme (art. 51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20237896727@NOTIFICACIONES.SCBA.GOV.AR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27276037825@NOTIFICACIONES.SCBA.GOV.AR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10:13:32 -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10:28:10 -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11:24:29 -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‰6h")è&amp;{\+4Š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227202090006916011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11:24:45 hs. bajo el número RS-98-2026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