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5792-25</w:t>
      </w:r>
      <w:r>
        <w:rPr>
          <w:lang w:val="es-AR" w:eastAsia="es-AR" w:bidi="es-AR"/>
        </w:rPr>
        <w:t xml:space="preserve"> caratulada </w:t>
      </w:r>
      <w:r>
        <w:rPr>
          <w:b/>
          <w:lang w:val="es-AR" w:eastAsia="es-AR" w:bidi="es-AR"/>
        </w:rPr>
        <w:t xml:space="preserve">"</w:t>
      </w:r>
      <w:r>
        <w:rPr>
          <w:b/>
          <w:color w:val="000000"/>
          <w:lang w:val="es-AR" w:eastAsia="es-AR" w:bidi="es-AR"/>
        </w:rPr>
        <w:t xml:space="preserve">ALLO ROBERTO JAVIER C/ COLD SEED LOGISTIC Y QUALITY SA  Y OTRO/A S/ EJECUCION DE SENTENCIA</w:t>
      </w:r>
      <w:r>
        <w:rPr>
          <w:b/>
          <w:lang w:val="es-AR" w:eastAsia="es-AR" w:bidi="es-AR"/>
        </w:rPr>
        <w:t xml:space="preserve">"</w:t>
      </w:r>
      <w:r>
        <w:rPr>
          <w:lang w:val="es-AR" w:eastAsia="es-AR" w:bidi="es-AR"/>
        </w:rPr>
        <w:t xml:space="preserve">, Expte. </w:t>
      </w:r>
      <w:r>
        <w:rPr>
          <w:color w:val="000000"/>
          <w:lang w:val="es-AR" w:eastAsia="es-AR" w:bidi="es-AR"/>
        </w:rPr>
        <w:t xml:space="preserve">89.767</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La Sra. Jueza de la anterior instancia reguló los honorarios del Dr. Juan Daniel Assaf en la cantidad de 1683,64 jus de unidad arancelaria, los honorarios del Dr. Bernardo Fiorito en la cantidad de 469, 61 jus de unidad arancelaria y los honorarios del Dr. Juan Carlos Cicconi en la cantidad de 1170 jus de unidad arancelaria. </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7-4-2026 por la parte actora, el cual fue concedido el 10-4-2026 en relación, habiendo la codemandada Cool Seed SA evacuado el traslado conferido el 16-4-2026. </w:t>
      </w:r>
    </w:p>
    <w:p>
      <w:pPr>
        <w:pStyle w:val="[Normal]"/>
        <w:spacing w:line="360" w:lineRule="auto"/>
        <w:ind w:firstLine="1134"/>
        <w:jc w:val="both"/>
        <w:rPr>
          <w:lang w:val="es-AR" w:eastAsia="es-AR" w:bidi="es-AR"/>
        </w:rPr>
      </w:pPr>
      <w:r>
        <w:rPr>
          <w:lang w:val="es-AR" w:eastAsia="es-AR" w:bidi="es-AR"/>
        </w:rPr>
        <w:t xml:space="preserve"> Asimismo el letrado apoderado de dicha empresa apeló el 13-4-2026 por bajos los honorarios regulados a su favor, siendo concedida tal pieza en fecha 20-4-2026  por el art. 57 de la ley 14.967. </w:t>
      </w:r>
    </w:p>
    <w:p>
      <w:pPr>
        <w:pStyle w:val="[Normal]"/>
        <w:spacing w:line="360" w:lineRule="auto"/>
        <w:ind w:firstLine="1134"/>
        <w:jc w:val="both"/>
        <w:rPr>
          <w:lang w:val="es-AR" w:eastAsia="es-AR" w:bidi="es-AR"/>
        </w:rPr>
      </w:pPr>
      <w:r>
        <w:rPr>
          <w:lang w:val="es-AR" w:eastAsia="es-AR" w:bidi="es-AR"/>
        </w:rPr>
        <w:t xml:space="preserve">Elevados los autos a esta Alzada, con fecha 23-4-2026 se dictó el llamamiento de autos, providencia que, firme a la fecha deja la causa en condiciones de ser fallada.</w:t>
      </w:r>
    </w:p>
    <w:p>
      <w:pPr>
        <w:pStyle w:val="[Normal]"/>
        <w:spacing w:line="360" w:lineRule="auto"/>
        <w:ind w:firstLine="1134"/>
        <w:jc w:val="both"/>
        <w:rPr>
          <w:color w:val="000000"/>
          <w:lang w:val="es-AR" w:eastAsia="es-AR" w:bidi="es-AR"/>
        </w:rPr>
      </w:pPr>
      <w:r>
        <w:rPr>
          <w:color w:val="000000"/>
          <w:lang w:val="es-AR" w:eastAsia="es-AR" w:bidi="es-AR"/>
        </w:rPr>
        <w:t xml:space="preserve">La parte actora cuestiona los estipendios fijados a favor de los letrados de las demandadas en la resolución en crisis. Sostiene que la magistrada de grado aplicó de manera automática el art. 23 de la ley 14.967 sin armonizar dicha disposición con las pautas contenidas en el art. 16 del mismo ordenamiento. </w:t>
      </w:r>
    </w:p>
    <w:p>
      <w:pPr>
        <w:pStyle w:val="[Normal]"/>
        <w:spacing w:line="360" w:lineRule="auto"/>
        <w:ind w:firstLine="1134"/>
        <w:jc w:val="both"/>
        <w:rPr>
          <w:color w:val="000000"/>
          <w:lang w:val="es-AR" w:eastAsia="es-AR" w:bidi="es-AR"/>
        </w:rPr>
      </w:pPr>
      <w:r>
        <w:rPr>
          <w:color w:val="000000"/>
          <w:lang w:val="es-AR" w:eastAsia="es-AR" w:bidi="es-AR"/>
        </w:rPr>
        <w:t xml:space="preserve">Afirma que al promover la ejecución no existía un monto líquido y exigible susceptible de constituir base regulatoria y que la propia resolución que rechazó la vía intentada evidenciaría la improcedencia de utilizar la cuantía reclamada como parámetro para la determinación de los honorarios.</w:t>
      </w:r>
    </w:p>
    <w:p>
      <w:pPr>
        <w:pStyle w:val="[Normal]"/>
        <w:spacing w:line="360" w:lineRule="auto"/>
        <w:ind w:firstLine="1134"/>
        <w:jc w:val="both"/>
        <w:rPr>
          <w:color w:val="000000"/>
          <w:lang w:val="es-AR" w:eastAsia="es-AR" w:bidi="es-AR"/>
        </w:rPr>
      </w:pPr>
      <w:r>
        <w:rPr>
          <w:color w:val="000000"/>
          <w:lang w:val="es-AR" w:eastAsia="es-AR" w:bidi="es-AR"/>
        </w:rPr>
        <w:t xml:space="preserve">Añade que la regulación practicada resulta desproporcionada frente a la labor desarrollada por los profesionales intervinientes. Invoca principios de razonabilidad y proporcionalidad. Solicita la reducción de los estipendios regulados.</w:t>
      </w:r>
    </w:p>
    <w:p>
      <w:pPr>
        <w:pStyle w:val="[Normal]"/>
        <w:spacing w:line="360" w:lineRule="auto"/>
        <w:ind w:firstLine="1134"/>
        <w:jc w:val="both"/>
        <w:rPr>
          <w:color w:val="000000"/>
          <w:lang w:val="es-AR" w:eastAsia="es-AR" w:bidi="es-AR"/>
        </w:rPr>
      </w:pPr>
      <w:r>
        <w:rPr>
          <w:color w:val="000000"/>
          <w:lang w:val="es-AR" w:eastAsia="es-AR" w:bidi="es-AR"/>
        </w:rPr>
        <w:t xml:space="preserve">Asimismo cuestiona la imposición de costas. Refiere que promovió la ejecución con sustento en una interpretación jurídica que consideró válida y solicita que las costas sean distribuidas por su orden. Finalmente requiere la suspensión de los efectos derivados de la regulación hasta tanto recaiga decisión definitiva en los recursos extraordinarios deducidos en la causa principal y se resuelva el beneficio de litigar sin gastos promovido.</w:t>
      </w:r>
    </w:p>
    <w:p>
      <w:pPr>
        <w:pStyle w:val="[Normal]"/>
        <w:spacing w:line="360" w:lineRule="auto"/>
        <w:ind w:firstLine="1134"/>
        <w:jc w:val="both"/>
        <w:rPr>
          <w:color w:val="000000"/>
          <w:lang w:val="es-AR" w:eastAsia="es-AR" w:bidi="es-AR"/>
        </w:rPr>
      </w:pPr>
      <w:r>
        <w:rPr>
          <w:color w:val="000000"/>
          <w:lang w:val="es-AR" w:eastAsia="es-AR" w:bidi="es-AR"/>
        </w:rPr>
        <w:t xml:space="preserve">Al contestar el traslado conferido la codemandada Cool Seed SA solicita el rechazo del recurso de la parte actora. Señala que la regulación fue practicada de conformidad con las disposiciones de la ley arancelaria y que el monto del proceso quedó determinado por la propia pretensión ejecutiva promovida por la recurrente. </w:t>
      </w:r>
    </w:p>
    <w:p>
      <w:pPr>
        <w:pStyle w:val="[Normal]"/>
        <w:spacing w:line="360" w:lineRule="auto"/>
        <w:ind w:firstLine="1134"/>
        <w:jc w:val="both"/>
        <w:rPr>
          <w:color w:val="000000"/>
          <w:lang w:val="es-AR" w:eastAsia="es-AR" w:bidi="es-AR"/>
        </w:rPr>
      </w:pPr>
      <w:r>
        <w:rPr>
          <w:color w:val="000000"/>
          <w:lang w:val="es-AR" w:eastAsia="es-AR" w:bidi="es-AR"/>
        </w:rPr>
        <w:t xml:space="preserve">Añade que las restantes cuestiones introducidas por la apelante resultan ajenas al contenido del auto regulatorio o se encuentran definitivamente resueltas.</w:t>
      </w:r>
    </w:p>
    <w:p>
      <w:pPr>
        <w:pStyle w:val="[Normal]"/>
        <w:spacing w:line="360" w:lineRule="auto"/>
        <w:ind w:firstLine="1134"/>
        <w:jc w:val="both"/>
        <w:rPr>
          <w:color w:val="000000"/>
          <w:lang w:val="es-AR" w:eastAsia="es-AR" w:bidi="es-AR"/>
        </w:rPr>
      </w:pPr>
      <w:r>
        <w:rPr>
          <w:color w:val="000000"/>
          <w:lang w:val="es-AR" w:eastAsia="es-AR" w:bidi="es-AR"/>
        </w:rPr>
        <w:t xml:space="preserve">Ya en tarea de resolver corresponde dar tratamiento a los agravios sometidos a consideración de este Tribunal.</w:t>
      </w:r>
    </w:p>
    <w:p>
      <w:pPr>
        <w:pStyle w:val="[Normal]"/>
        <w:spacing w:line="360" w:lineRule="auto"/>
        <w:ind w:firstLine="1134"/>
        <w:jc w:val="both"/>
        <w:rPr>
          <w:color w:val="000000"/>
          <w:lang w:val="es-AR" w:eastAsia="es-AR" w:bidi="es-AR"/>
        </w:rPr>
      </w:pPr>
      <w:r>
        <w:rPr>
          <w:color w:val="000000"/>
          <w:lang w:val="es-AR" w:eastAsia="es-AR" w:bidi="es-AR"/>
        </w:rPr>
        <w:t xml:space="preserve">El primero de ellos se dirige contra la determinación de la base regulatoria utilizada por la jueza de la anterior instancia. Al respecto adelanto que tal critica no ha de prosperar.</w:t>
      </w:r>
    </w:p>
    <w:p>
      <w:pPr>
        <w:pStyle w:val="[Normal]"/>
        <w:spacing w:line="360" w:lineRule="auto"/>
        <w:ind w:firstLine="1134"/>
        <w:jc w:val="both"/>
        <w:rPr>
          <w:color w:val="000000"/>
          <w:lang w:val="es-AR" w:eastAsia="es-AR" w:bidi="es-AR"/>
        </w:rPr>
      </w:pPr>
      <w:r>
        <w:rPr>
          <w:color w:val="000000"/>
          <w:lang w:val="es-AR" w:eastAsia="es-AR" w:bidi="es-AR"/>
        </w:rPr>
        <w:t xml:space="preserve">Nuestra jurisprudencia tiene dicho que:</w:t>
      </w:r>
      <w:r>
        <w:rPr>
          <w:i/>
          <w:color w:val="000000"/>
          <w:lang w:val="es-AR" w:eastAsia="es-AR" w:bidi="es-AR"/>
        </w:rPr>
        <w:t xml:space="preserve"> "Para establecer el monto del juicio a los efectos arancelarios debe determinarse en términos económicos; el interés discutido por las partes pues éste-cuando es susceptible de apreciación pecuniaria-constituye la base regulatoria</w:t>
      </w:r>
      <w:r>
        <w:rPr>
          <w:color w:val="000000"/>
          <w:lang w:val="es-AR" w:eastAsia="es-AR" w:bidi="es-AR"/>
        </w:rPr>
        <w:t xml:space="preserve">" (CC0202 LP 136654 RR 361/25 I 08/07/2025 JUBA B5093942).</w:t>
      </w:r>
    </w:p>
    <w:p>
      <w:pPr>
        <w:pStyle w:val="[Normal]"/>
        <w:spacing w:line="360" w:lineRule="auto"/>
        <w:ind w:firstLine="1134"/>
        <w:jc w:val="both"/>
        <w:rPr>
          <w:color w:val="000000"/>
          <w:lang w:val="es-AR" w:eastAsia="es-AR" w:bidi="es-AR"/>
        </w:rPr>
      </w:pPr>
      <w:r>
        <w:rPr>
          <w:color w:val="000000"/>
          <w:lang w:val="es-AR" w:eastAsia="es-AR" w:bidi="es-AR"/>
        </w:rPr>
        <w:t xml:space="preserve">Y es que conforme surge de las constancias de autos, la sentencia emitida por éste Tribunal en fecha 30-10-2025, que puso fin a este proceso rechazó la ejecución promovida por la actora por considerar que la decisión dictada en la causa principal carecía de ejecutoriedad actual en razón del efecto suspensivo aplicado a los recursos extraordinarios concedidos por nuestro Cimero Tribunal Provincial. Sin perjuicio de ello, dicha conclusión no importa desconocer la existencia del crédito invocado al inicio de este proceso, ni el contenido económico de la pretensión articulada, ni las medidas cautelares trabadas en su oportunidad.</w:t>
      </w:r>
    </w:p>
    <w:p>
      <w:pPr>
        <w:pStyle w:val="[Normal]"/>
        <w:spacing w:line="360" w:lineRule="auto"/>
        <w:ind w:firstLine="1134"/>
        <w:jc w:val="both"/>
        <w:rPr>
          <w:color w:val="000000"/>
          <w:lang w:val="es-AR" w:eastAsia="es-AR" w:bidi="es-AR"/>
        </w:rPr>
      </w:pPr>
      <w:r>
        <w:rPr>
          <w:color w:val="000000"/>
          <w:lang w:val="es-AR" w:eastAsia="es-AR" w:bidi="es-AR"/>
        </w:rPr>
        <w:t xml:space="preserve">Al respecto se debe distinguir dos circunstancias diversas. Por un lado la cuestión concierne a la posibilidad actual de exigir compulsivamente el cumplimiento de una sentencia y por otro aquella que refiere a la determinación del interés patrimonial comprometido en el presente litigio. Es decir el rechazo de la ejecución no eliminó la entidad económica de la pretensión deducida solo determinó la imposibilidad jurídica de acceder al cobro anticipado de un capital de condena que aun no adquirió firmeza. Sin embargo tal denegatoria no anula el contenido económico del reclamo, el cual indefectiblemente queda delimitado por el propio ejecutante (hoy recurrente) al promover la acción y reclamar las sumas consignadas en la sentencia definitiva que pretendió ejecutar.</w:t>
      </w:r>
    </w:p>
    <w:p>
      <w:pPr>
        <w:pStyle w:val="[Normal]"/>
        <w:spacing w:line="360" w:lineRule="auto"/>
        <w:ind w:firstLine="1134"/>
        <w:jc w:val="both"/>
        <w:rPr>
          <w:color w:val="000000"/>
          <w:lang w:val="es-AR" w:eastAsia="es-AR" w:bidi="es-AR"/>
        </w:rPr>
      </w:pPr>
      <w:r>
        <w:rPr>
          <w:color w:val="000000"/>
          <w:lang w:val="es-AR" w:eastAsia="es-AR" w:bidi="es-AR"/>
        </w:rPr>
        <w:t xml:space="preserve">Desde esa perspectiva no se advierte incompatibilidad alguna entre la solución adoptada al resolver la ejecución y la utilización del monto reclamado como pauta para la determinación de los honorarios. A ello se suma que la ejecución fue íntegramente rechazada por resultar improcedente la vía intentada en el estado procesal en que se encontraba la sentencia cuyo cumplimiento se pretendía, circunstancia que no desvirtúa la existencia del interés económico comprometido en el litigio.</w:t>
      </w:r>
    </w:p>
    <w:p>
      <w:pPr>
        <w:pStyle w:val="[Normal]"/>
        <w:spacing w:line="360" w:lineRule="auto"/>
        <w:ind w:firstLine="1134"/>
        <w:jc w:val="both"/>
        <w:rPr>
          <w:color w:val="000000"/>
          <w:lang w:val="es-AR" w:eastAsia="es-AR" w:bidi="es-AR"/>
        </w:rPr>
      </w:pPr>
      <w:r>
        <w:rPr>
          <w:color w:val="000000"/>
          <w:lang w:val="es-AR" w:eastAsia="es-AR" w:bidi="es-AR"/>
        </w:rPr>
        <w:t xml:space="preserve">En tales condiciones, la aplicación del artículo 23 de la ley 14.967 aparece ajustada a derecho, pues la norma establece que, cuando la pretensión resulta íntegramente desestimada, el valor del pleito debe determinarse tomando como referencia el total reclamado.</w:t>
      </w:r>
    </w:p>
    <w:p>
      <w:pPr>
        <w:pStyle w:val="[Normal]"/>
        <w:spacing w:line="360" w:lineRule="auto"/>
        <w:ind w:firstLine="1134"/>
        <w:jc w:val="both"/>
        <w:rPr>
          <w:color w:val="000000"/>
          <w:lang w:val="es-AR" w:eastAsia="es-AR" w:bidi="es-AR"/>
        </w:rPr>
      </w:pPr>
      <w:r>
        <w:rPr>
          <w:color w:val="000000"/>
          <w:lang w:val="es-AR" w:eastAsia="es-AR" w:bidi="es-AR"/>
        </w:rPr>
        <w:t xml:space="preserve">Ello no significa, sin embargo, que la sola determinación de la base regulatoria conduzca automáticamente al monto definitivo de los honorarios. La fijación del valor del proceso constituye únicamente uno de los elementos que integran la regulación, la cual debe completarse mediante la ponderación de las restantes pautas previstas en el artículo 16 de la ley 14.967.</w:t>
      </w:r>
    </w:p>
    <w:p>
      <w:pPr>
        <w:pStyle w:val="[Normal]"/>
        <w:spacing w:line="360" w:lineRule="auto"/>
        <w:ind w:firstLine="1134"/>
        <w:jc w:val="both"/>
        <w:rPr>
          <w:lang w:val="es-AR" w:eastAsia="es-AR" w:bidi="es-AR"/>
        </w:rPr>
      </w:pPr>
      <w:r>
        <w:rPr>
          <w:lang w:val="es-AR" w:eastAsia="es-AR" w:bidi="es-AR"/>
        </w:rPr>
        <w:t xml:space="preserve">Sentado ello, distinta suerte habrá de correr el agravio referido a la cuantificación de los estipendios regulados.</w:t>
      </w:r>
    </w:p>
    <w:p>
      <w:pPr>
        <w:pStyle w:val="[Normal]"/>
        <w:spacing w:line="360" w:lineRule="auto"/>
        <w:ind w:firstLine="1134"/>
        <w:jc w:val="both"/>
        <w:rPr>
          <w:lang w:val="es-AR" w:eastAsia="es-AR" w:bidi="es-AR"/>
        </w:rPr>
      </w:pPr>
      <w:r>
        <w:rPr>
          <w:lang w:val="es-AR" w:eastAsia="es-AR" w:bidi="es-AR"/>
        </w:rPr>
        <w:t xml:space="preserve">Al respecto corresponde destacar que, si bien la determinación de la base regulatoria efectuada en la instancia de origen resulta ajustada a derecho, ello no define de manera absoluta ni agota la tarea valorativa que impone el régimen arancelario.</w:t>
      </w:r>
    </w:p>
    <w:p>
      <w:pPr>
        <w:pStyle w:val="[Normal]"/>
        <w:spacing w:line="360" w:lineRule="auto"/>
        <w:ind w:firstLine="1134"/>
        <w:jc w:val="both"/>
        <w:rPr>
          <w:lang w:val="es-AR" w:eastAsia="es-AR" w:bidi="es-AR"/>
        </w:rPr>
      </w:pPr>
      <w:r>
        <w:rPr>
          <w:lang w:val="es-AR" w:eastAsia="es-AR" w:bidi="es-AR"/>
        </w:rPr>
        <w:t xml:space="preserve">En efecto el articulo 16 de la ley 14.967 dispone: </w:t>
      </w:r>
      <w:r>
        <w:rPr>
          <w:i/>
          <w:lang w:val="es-AR" w:eastAsia="es-AR" w:bidi="es-AR"/>
        </w:rPr>
        <w:t xml:space="preserve">"Para regular honorarios, se tendrá en cuenta: a) El monto del asunto, si fuera susceptible de apreciación pecuniaria. b) El valor, mérito y calidad jurídica de la labor desarrollada. c) La complejidad y novedad de la cuestión planteada. d) La responsabilidad que de las particularidades del caso pudiera haberse derivado para el profesional. e) El resultado obtenido. f) La trascendencia de la resolución a la que se llegare, para casos futuros. g) Las actuaciones esenciales establecidas por la ley para el desarrollo del proceso y las actuaciones de mero trámite. h) La trascendencia económica y moral que para el interesado revista la cuestión en debate. i) La posición económica y social de las partes. j) El tiempo empleado en la solución del litigio, siempre que la tardanza no fuera imputable para al profesional. La regulación de honorarios de los abogados que hubieren representado a la parte vencedora se efectuará en base a la media de la escala del artículo 21, pudiendo disminuirse por resolución fundada en los incisos b), g) y/o j) de este artículo".</w:t>
      </w:r>
    </w:p>
    <w:p>
      <w:pPr>
        <w:pStyle w:val="[Normal]"/>
        <w:spacing w:line="360" w:lineRule="auto"/>
        <w:ind w:firstLine="1134"/>
        <w:jc w:val="both"/>
        <w:rPr>
          <w:lang w:val="es-AR" w:eastAsia="es-AR" w:bidi="es-AR"/>
        </w:rPr>
      </w:pPr>
      <w:r>
        <w:rPr>
          <w:lang w:val="es-AR" w:eastAsia="es-AR" w:bidi="es-AR"/>
        </w:rPr>
        <w:t xml:space="preserve">En consecuencia, la cuantificación de los honorarios no depende exclusivamente de la magnitud económica comprometida en el litigio sino también de las restantes pautas establecidas por la norma precedentemente citada, entre ellas el valor, mérito y calidad jurídica de la labor desarrollada, la complejidad y novedad de la cuestión debatida, el resultado obtenido, las actuaciones esenciales cumplidas y el tiempo efectivamente insumido en la solución del litigio.</w:t>
      </w:r>
    </w:p>
    <w:p>
      <w:pPr>
        <w:pStyle w:val="[Normal]"/>
        <w:spacing w:line="360" w:lineRule="auto"/>
        <w:ind w:firstLine="1134"/>
        <w:jc w:val="both"/>
        <w:rPr>
          <w:lang w:val="es-AR" w:eastAsia="es-AR" w:bidi="es-AR"/>
        </w:rPr>
      </w:pPr>
      <w:r>
        <w:rPr>
          <w:lang w:val="es-AR" w:eastAsia="es-AR" w:bidi="es-AR"/>
        </w:rPr>
        <w:t xml:space="preserve">En tal sentido se ha señalado que: "</w:t>
      </w:r>
      <w:r>
        <w:rPr>
          <w:i/>
          <w:lang w:val="es-AR" w:eastAsia="es-AR" w:bidi="es-AR"/>
        </w:rPr>
        <w:t xml:space="preserve">En situaciones excepcionales, sujetarse sin más al monto de la base regulatoria y aplicar a ello la escala legal puede conducir a determinar honorarios desmesurados -por ende, irrazonables- y desprovistos de toda proporción lógica con las restantes pautas generales que deben ser consideradas para ello (art. 16 DL 8904/77 y arts. 17 y 33 C.N.). En tal sentido es doctrina de la Corte Suprema de Justicia de la Nación que, aparte del monto del juicio, existe un conjunto de pautas generales -naturaleza y complejidad del asunto, resultado obtenido, mérito de la labor, calidad, eficacia y extensión del trabajo, escalas, etc.- que constituyen la guía pertinente para llegar a una retribución justa y razonable, de modo que la validez constitucional de las regulaciones no depende exclusivamente de dicho monto o de las escalas pertinentes</w:t>
      </w:r>
      <w:r>
        <w:rPr>
          <w:lang w:val="es-AR" w:eastAsia="es-AR" w:bidi="es-AR"/>
        </w:rPr>
        <w:t xml:space="preserve">" (CC0202 LP 132944 RSI 66/2023 I 07/03/2023. JUBA B5084483).</w:t>
      </w:r>
    </w:p>
    <w:p>
      <w:pPr>
        <w:pStyle w:val="[Normal]"/>
        <w:spacing w:line="360" w:lineRule="auto"/>
        <w:ind w:firstLine="1134"/>
        <w:jc w:val="both"/>
        <w:rPr>
          <w:lang w:val="es-AR" w:eastAsia="es-AR" w:bidi="es-AR"/>
        </w:rPr>
      </w:pPr>
      <w:r>
        <w:rPr>
          <w:lang w:val="es-AR" w:eastAsia="es-AR" w:bidi="es-AR"/>
        </w:rPr>
        <w:t xml:space="preserve">En el caso, no puede desconocerse que los profesionales de las demandadas desarrollaron una labor eficaz que culminó con el rechazo íntegro de la ejecución promovida por la actora. Tal circunstancia constituye un elemento de significativa relevancia al momento de valorar su actuación profesional.</w:t>
      </w:r>
    </w:p>
    <w:p>
      <w:pPr>
        <w:pStyle w:val="[Normal]"/>
        <w:spacing w:line="360" w:lineRule="auto"/>
        <w:ind w:firstLine="1134"/>
        <w:jc w:val="both"/>
        <w:rPr>
          <w:lang w:val="es-AR" w:eastAsia="es-AR" w:bidi="es-AR"/>
        </w:rPr>
      </w:pPr>
      <w:r>
        <w:rPr>
          <w:lang w:val="es-AR" w:eastAsia="es-AR" w:bidi="es-AR"/>
        </w:rPr>
        <w:t xml:space="preserve">Sin embargo, también corresponde ponderar que el proceso concluyó con el acogimiento de las excepciones opuestas por las ejecutadas, antes de arribarse a la sentencia de trance y remate, sin que la ejecución transitara la totalidad de las etapas que ordinariamente caracterizan este tipo de procesos.</w:t>
      </w:r>
    </w:p>
    <w:p>
      <w:pPr>
        <w:pStyle w:val="[Normal]"/>
        <w:spacing w:line="360" w:lineRule="auto"/>
        <w:ind w:firstLine="1134"/>
        <w:jc w:val="both"/>
        <w:rPr>
          <w:lang w:val="es-AR" w:eastAsia="es-AR" w:bidi="es-AR"/>
        </w:rPr>
      </w:pPr>
      <w:r>
        <w:rPr>
          <w:lang w:val="es-AR" w:eastAsia="es-AR" w:bidi="es-AR"/>
        </w:rPr>
        <w:t xml:space="preserve">Si bien existieron actuaciones de importancia -entre ellas la traba de embargo, la oposición y sustanciación de excepciones y la obtención de un pronunciamiento favorable-, la actividad profesional quedó objetivamente circunscripta a ese tramo del proceso, sin proyectarse sobre las restantes etapas propias de una ejecución plenamente desarrollada.</w:t>
      </w:r>
    </w:p>
    <w:p>
      <w:pPr>
        <w:pStyle w:val="[Normal]"/>
        <w:spacing w:line="360" w:lineRule="auto"/>
        <w:ind w:firstLine="1134"/>
        <w:jc w:val="both"/>
        <w:rPr>
          <w:lang w:val="es-AR" w:eastAsia="es-AR" w:bidi="es-AR"/>
        </w:rPr>
      </w:pPr>
      <w:r>
        <w:rPr>
          <w:lang w:val="es-AR" w:eastAsia="es-AR" w:bidi="es-AR"/>
        </w:rPr>
        <w:t xml:space="preserve">En esta tónica nuestros tribunales se han expresado al respecto: "</w:t>
      </w:r>
      <w:r>
        <w:rPr>
          <w:i/>
          <w:lang w:val="es-AR" w:eastAsia="es-AR" w:bidi="es-AR"/>
        </w:rPr>
        <w:t xml:space="preserve">La etapa de ejecución de sentencia, a los efectos arancelarios, culmina con la percepción del crédito del actor, por lo que corresponde fijar la paga por esas tareas en la oportunidad prevista en los artículos 557 o 589 del C.P.C.C. Ahora bien, si la ejecución de sentencia no se llevó a cabo totalmente, debe cuantificarse en proporción a los desempeños realizados en ese ciclo"</w:t>
      </w:r>
      <w:r>
        <w:rPr>
          <w:lang w:val="es-AR" w:eastAsia="es-AR" w:bidi="es-AR"/>
        </w:rPr>
        <w:t xml:space="preserve"> (CC0202 LP 91895 116 I 07/05/2019, Juez Banegas. JUBA B5063066).</w:t>
      </w:r>
    </w:p>
    <w:p>
      <w:pPr>
        <w:pStyle w:val="[Normal]"/>
        <w:spacing w:line="360" w:lineRule="auto"/>
        <w:ind w:firstLine="1134"/>
        <w:jc w:val="both"/>
        <w:rPr>
          <w:lang w:val="es-AR" w:eastAsia="es-AR" w:bidi="es-AR"/>
        </w:rPr>
      </w:pPr>
      <w:r>
        <w:rPr>
          <w:lang w:val="es-AR" w:eastAsia="es-AR" w:bidi="es-AR"/>
        </w:rPr>
        <w:t xml:space="preserve">En consecuencia, aun cuando el monto del litigio constituye una pauta relevante para la determinación de los honorarios, la aplicación conjunta de los criterios previstos en los incisos b), g) y j) del artículo 16 de la ley 14.967 impone atender también a la concreta extensión, intensidad y eficacia de la labor profesional efectivamente desplegada.</w:t>
      </w:r>
    </w:p>
    <w:p>
      <w:pPr>
        <w:pStyle w:val="[Normal]"/>
        <w:spacing w:line="360" w:lineRule="auto"/>
        <w:ind w:firstLine="1134"/>
        <w:jc w:val="both"/>
        <w:rPr>
          <w:lang w:val="es-AR" w:eastAsia="es-AR" w:bidi="es-AR"/>
        </w:rPr>
      </w:pPr>
      <w:r>
        <w:rPr>
          <w:lang w:val="es-AR" w:eastAsia="es-AR" w:bidi="es-AR"/>
        </w:rPr>
        <w:t xml:space="preserve">Desde esa perspectiva, la regulación practicada en la instancia de origen resulta elevada en relación con las tareas desarrolladas durante esta etapa procesal, razón por la cual corresponde efectuar una reducción que preserve una adecuada proporción entre la retribución profesional y la efectiva dimensión del trabajo realizado, sin desconocer la importancia económica del litigio ni el resultado favorable obtenido por los letrados intervinientes.</w:t>
      </w:r>
    </w:p>
    <w:p>
      <w:pPr>
        <w:pStyle w:val="[Normal]"/>
        <w:spacing w:line="360" w:lineRule="auto"/>
        <w:ind w:firstLine="1134"/>
        <w:jc w:val="both"/>
        <w:rPr>
          <w:lang w:val="es-AR" w:eastAsia="es-AR" w:bidi="es-AR"/>
        </w:rPr>
      </w:pPr>
      <w:r>
        <w:rPr>
          <w:lang w:val="es-AR" w:eastAsia="es-AR" w:bidi="es-AR"/>
        </w:rPr>
        <w:t xml:space="preserve">Consecuentemente, corresponde admitir parcialmente el recurso de apelación deducido por la parte actora y modificar la regulación apelada de acuerdo a los parámetros señalados en los párrafos precedentes, fijando los honorarios del Dr. Juan Daniel Assaf en la cantidad de mil trescientos cuarenta y siete jus arancelarios (1.347), los del Dr. Juan Carlos Cicconi en la cantidad de novecientos treinta y seis jus arancelarios (936) y los del Dr. Bernardo Fiorito en la cantidad de trescientos setenta y seis jus arancelarios  (376), con más los adicionales de ley e IVA en caso de corresponder.</w:t>
      </w:r>
    </w:p>
    <w:p>
      <w:pPr>
        <w:pStyle w:val="[Normal]"/>
        <w:spacing w:line="360" w:lineRule="auto"/>
        <w:ind w:firstLine="1134"/>
        <w:jc w:val="both"/>
        <w:rPr>
          <w:lang w:val="es-AR" w:eastAsia="es-AR" w:bidi="es-AR"/>
        </w:rPr>
      </w:pPr>
      <w:r>
        <w:rPr>
          <w:lang w:val="es-AR" w:eastAsia="es-AR" w:bidi="es-AR"/>
        </w:rPr>
        <w:t xml:space="preserve">La conclusión a la que se arriba en cuanto a la adecuada cuantificación de los honorarios determina, por sí sola, el rechazo del recurso de apelación por bajo deducido por el Dr. Juan Daniel Assaf.</w:t>
      </w:r>
    </w:p>
    <w:p>
      <w:pPr>
        <w:pStyle w:val="[Normal]"/>
        <w:spacing w:line="360" w:lineRule="auto"/>
        <w:ind w:firstLine="1134"/>
        <w:jc w:val="both"/>
        <w:rPr>
          <w:lang w:val="es-AR" w:eastAsia="es-AR" w:bidi="es-AR"/>
        </w:rPr>
      </w:pPr>
      <w:r>
        <w:rPr>
          <w:lang w:val="es-AR" w:eastAsia="es-AR" w:bidi="es-AR"/>
        </w:rPr>
        <w:t xml:space="preserve">Por último resta examinar la cuestión relativa a las costas de esta instancia. En referencia a ello debo expresar que si bien el recurso de la parte actora prosperará sólo parcialmente y el recurso por bajos será rechazado, las particularidades del debate suscitado permiten concluir que las partes pudieron razonablemente considerarse asistidas de derecho para sostener las respectivas posiciones asumidas.</w:t>
      </w:r>
    </w:p>
    <w:p>
      <w:pPr>
        <w:pStyle w:val="[Normal]"/>
        <w:spacing w:line="360" w:lineRule="auto"/>
        <w:ind w:firstLine="1134"/>
        <w:jc w:val="both"/>
        <w:rPr>
          <w:lang w:val="es-AR" w:eastAsia="es-AR" w:bidi="es-AR"/>
        </w:rPr>
      </w:pPr>
      <w:r>
        <w:rPr>
          <w:lang w:val="es-AR" w:eastAsia="es-AR" w:bidi="es-AR"/>
        </w:rPr>
        <w:t xml:space="preserve">La controversia giró en torno a una cuestión novedosa y de naturaleza estrictamente jurídica vinculada con la determinación de la base regulatoria y la incidencia que la extensión efectiva de las tareas desarrolladas debía tener en la cuantificación de los honorarios regulados. Dichas circunstancias habilitan a apartarse excepcionalmente del principio objetivo de la derrota, proponiendo que las costas sean impartidas por su orden (arts. 68, segundo párrafo, y 71 del CPCC).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al recurso de apelación deducido por la parte actora y modificar la regulación de honorarios de fecha 1-4-2026, estableciendo los honorarios del Dr. Juan Daniel Assaf en la cantidad de mil trescientos cuarenta y siete jus arancelarios (1347), los del Dr. Juan Carlos Cicconi en la cantidad de novecientos treinta y seis jus arancelarios (936) y los del Dr. Bernardo Fiorito en la cantidad de trescientos setenta y seis jus arancelarios (376), con más los adicionales de ley e IVA si correspondiere.</w:t>
      </w:r>
    </w:p>
    <w:p>
      <w:pPr>
        <w:pStyle w:val="[Normal]"/>
        <w:spacing w:line="360" w:lineRule="auto"/>
        <w:ind w:firstLine="1134"/>
        <w:jc w:val="both"/>
        <w:rPr>
          <w:lang w:val="es-AR" w:eastAsia="es-AR" w:bidi="es-AR"/>
        </w:rPr>
      </w:pPr>
      <w:r>
        <w:rPr>
          <w:lang w:val="es-AR" w:eastAsia="es-AR" w:bidi="es-AR"/>
        </w:rPr>
        <w:t xml:space="preserve">Rechazar el recurso de apelación deducido por el Dr. Juan Daniel Assaf.</w:t>
      </w:r>
    </w:p>
    <w:p>
      <w:pPr>
        <w:pStyle w:val="[Normal]"/>
        <w:spacing w:line="360" w:lineRule="auto"/>
        <w:ind w:firstLine="1134"/>
        <w:jc w:val="both"/>
        <w:rPr>
          <w:lang w:val="es-AR" w:eastAsia="es-AR" w:bidi="es-AR"/>
        </w:rPr>
      </w:pPr>
      <w:r>
        <w:rPr>
          <w:lang w:val="es-AR" w:eastAsia="es-AR" w:bidi="es-AR"/>
        </w:rPr>
        <w:t xml:space="preserve"> Imponer las costas de Alzada por su orden atento las particularidades de la cuestión debatida (arts. 68 segundo párrafo y 71 del CPCC).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parcialmente al recurso de apelación deducido por la parte actora y modificar la regulación de honorarios de fecha 1-4-2026, estableciendo los honorarios del Dr. Juan Daniel Assaf en la cantidad de mil trescientos cuarenta y siete jus arancelarios (1347), los del Dr. Juan Carlos Cicconi en la cantidad de novecientos treinta y seis jus arancelarios (936) y los del Dr. Bernardo Fiorito en la cantidad de trescientos setenta y seis jus arancelarios (376), con más los adicionales de ley e IVA si correspondiere.</w:t>
      </w:r>
    </w:p>
    <w:p>
      <w:pPr>
        <w:pStyle w:val="[Normal]"/>
        <w:spacing w:line="360" w:lineRule="auto"/>
        <w:ind w:firstLine="1134"/>
        <w:jc w:val="both"/>
        <w:rPr>
          <w:lang w:val="es-AR" w:eastAsia="es-AR" w:bidi="es-AR"/>
        </w:rPr>
      </w:pPr>
      <w:r>
        <w:rPr>
          <w:lang w:val="es-AR" w:eastAsia="es-AR" w:bidi="es-AR"/>
        </w:rPr>
        <w:t xml:space="preserve">Rechazar el recurso de apelación deducido por el Dr. Juan Daniel Assaf.</w:t>
      </w:r>
    </w:p>
    <w:p>
      <w:pPr>
        <w:pStyle w:val="[Normal]"/>
        <w:spacing w:line="360" w:lineRule="auto"/>
        <w:ind w:firstLine="1134"/>
        <w:jc w:val="both"/>
        <w:rPr>
          <w:lang w:val="es-AR" w:eastAsia="es-AR" w:bidi="es-AR"/>
        </w:rPr>
      </w:pPr>
      <w:r>
        <w:rPr>
          <w:lang w:val="es-AR" w:eastAsia="es-AR" w:bidi="es-AR"/>
        </w:rPr>
        <w:t xml:space="preserve"> Imponer las costas de Alzada por su orden atento las particularidades de la cuestión debatida (arts. 68 segundo párrafo y 71 del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20206719290@NOTIFICACIONES.SCBA.GOV.AR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20204563676@NOTIFICACIONES.SCBA.GOV.AR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20175049704@NOTIFICACIONES.SCBA.GOV.AR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30/06/2026 10:00:37 -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30/06/2026 10:13:56 -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30/06/2026 10:44:07 -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‰9;")è&amp;{Dƒ2Š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252702090006913699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30/06/2026 10:44:18 hs. bajo el número RS-111-2026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