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6038-26</w:t>
      </w:r>
      <w:r>
        <w:rPr>
          <w:lang w:val="es-AR" w:eastAsia="es-AR" w:bidi="es-AR"/>
        </w:rPr>
        <w:t xml:space="preserve"> caratulada </w:t>
      </w:r>
      <w:r>
        <w:rPr>
          <w:b/>
          <w:lang w:val="es-AR" w:eastAsia="es-AR" w:bidi="es-AR"/>
        </w:rPr>
        <w:t xml:space="preserve">"</w:t>
      </w:r>
      <w:r>
        <w:rPr>
          <w:b/>
          <w:color w:val="000000"/>
          <w:lang w:val="es-AR" w:eastAsia="es-AR" w:bidi="es-AR"/>
        </w:rPr>
        <w:t xml:space="preserve">FUNDACION RUFINA PLANES DE BARCIA  C/ CENTRO AGROPECUARIO MODELO S.A.  S/ COBRO EJECUTIVO</w:t>
      </w:r>
      <w:r>
        <w:rPr>
          <w:b/>
          <w:lang w:val="es-AR" w:eastAsia="es-AR" w:bidi="es-AR"/>
        </w:rPr>
        <w:t xml:space="preserve">"</w:t>
      </w:r>
      <w:r>
        <w:rPr>
          <w:lang w:val="es-AR" w:eastAsia="es-AR" w:bidi="es-AR"/>
        </w:rPr>
        <w:t xml:space="preserve">, Expte. N° 68894</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excepción de incompetencia opuesta mediante presentación electrónica de fecha 04/12/2025 por el apoderado de la actora y, en consecuencia, mandó llevar adelante la ejecución hasta tanto el ejecutado CENTRO AGROPECUARIO MODELO S.A. haga al acreedor FUNDACIÓN RUFINA PLANES DE BARCIA íntegro pago del capital reclamado de pesos un mil millones novecientos setenta y dos millones doscientos cincuenta y cuatro mil seiscientos noventa y tres con 80/100 ($1.972.254.693,80)  con más sus  intereses calculados conforme a la tasa que percibe el Banco de la Provincia de Buenos Aires, en sus operaciones ordinarias de descuento (tasa activa), a partir de la fecha de la  mora: 12/09/2025 y15/09/2025; difiriendo  la  regulación  de  los  honorarios  de   los profesionales  intervinientes.</w:t>
      </w:r>
    </w:p>
    <w:p>
      <w:pPr>
        <w:pStyle w:val="[Normal]"/>
        <w:spacing w:line="360" w:lineRule="auto"/>
        <w:ind w:firstLine="1134"/>
        <w:jc w:val="both"/>
        <w:rPr>
          <w:lang w:val="es-AR" w:eastAsia="es-AR" w:bidi="es-AR"/>
        </w:rPr>
      </w:pPr>
      <w:r>
        <w:rPr>
          <w:lang w:val="es-AR" w:eastAsia="es-AR" w:bidi="es-AR"/>
        </w:rPr>
        <w:t xml:space="preserve">Dicho pronunciamiento dio lugar al recurso de apelación interpuesto por la parte actora el 6/3/2026, concedido en relación el 12/3/2026, y fundado mediante presentación electrónica el 13/3/202, corrido el traslado es contestado por la contraparte el 31/3/2026.</w:t>
      </w:r>
    </w:p>
    <w:p>
      <w:pPr>
        <w:pStyle w:val="[Normal]"/>
        <w:spacing w:line="360" w:lineRule="auto"/>
        <w:ind w:firstLine="1134"/>
        <w:jc w:val="both"/>
        <w:rPr>
          <w:lang w:val="es-AR" w:eastAsia="es-AR" w:bidi="es-AR"/>
        </w:rPr>
      </w:pPr>
      <w:r>
        <w:rPr>
          <w:lang w:val="es-AR" w:eastAsia="es-AR" w:bidi="es-AR"/>
        </w:rPr>
        <w:t xml:space="preserve">Elevados los autos el 7/4/2026 a este organismo, se dicta el llamamiento de autos para resolver, el que estando firme deja la causa en condiciones de ser resuelta.</w:t>
      </w:r>
    </w:p>
    <w:p>
      <w:pPr>
        <w:pStyle w:val="[Normal]"/>
        <w:spacing w:line="360" w:lineRule="auto"/>
        <w:ind w:firstLine="1134"/>
        <w:jc w:val="both"/>
        <w:rPr>
          <w:lang w:val="es-AR" w:eastAsia="es-AR" w:bidi="es-AR"/>
        </w:rPr>
      </w:pPr>
      <w:r>
        <w:rPr>
          <w:lang w:val="es-AR" w:eastAsia="es-AR" w:bidi="es-AR"/>
        </w:rPr>
        <w:t xml:space="preserve">Principia su queja el recurrente mediante planteo de nulidad fundado en la omisión de actos procesales esenciales e irrenunciables del juicio ejecutivo. Sostiene que el proceso fue iniciado únicamente como preparación de la vía ejecutiva conforme a los arts. 523 y concordantes del CPCC, pero que el magistrado, sin concluir previamente dicha etapa ni declarar formalmente preparada la vía, dictó sentencia de trance y remate, mandando llevar adelante la ejecución. </w:t>
      </w:r>
    </w:p>
    <w:p>
      <w:pPr>
        <w:pStyle w:val="[Normal]"/>
        <w:spacing w:line="360" w:lineRule="auto"/>
        <w:ind w:firstLine="1134"/>
        <w:jc w:val="both"/>
        <w:rPr>
          <w:lang w:val="es-AR" w:eastAsia="es-AR" w:bidi="es-AR"/>
        </w:rPr>
      </w:pPr>
      <w:r>
        <w:rPr>
          <w:lang w:val="es-AR" w:eastAsia="es-AR" w:bidi="es-AR"/>
        </w:rPr>
        <w:t xml:space="preserve">Afirma que ello ocurrió sin librarse mandamiento de intimación de pago y embargo, sin citación para oponer excepciones y sin otorgar la posibilidad de ejercer las defensas previstas en los arts. 541 y 542 del CPCC, vulnerándose así el derecho constitucional de defensa en juicio y el debido proceso consagrados en los arts. 18 de la Constitución Nacional y 10 de la Constitución Provincial.</w:t>
      </w:r>
    </w:p>
    <w:p>
      <w:pPr>
        <w:pStyle w:val="[Normal]"/>
        <w:spacing w:line="360" w:lineRule="auto"/>
        <w:ind w:firstLine="1134"/>
        <w:jc w:val="both"/>
        <w:rPr>
          <w:lang w:val="es-AR" w:eastAsia="es-AR" w:bidi="es-AR"/>
        </w:rPr>
      </w:pPr>
      <w:r>
        <w:rPr>
          <w:lang w:val="es-AR" w:eastAsia="es-AR" w:bidi="es-AR"/>
        </w:rPr>
        <w:t xml:space="preserve">Refiere que el único objeto litigioso existente hasta ese momento era el planteo de incompetencia formulado por la demandada dentro de la medida preparatoria, por lo que el juez únicamente podía resolver dicha cuestión y continuar o no, con el trámite preparatorio. Sin embargo, señala que el sentenciante avanzó directamente hacia la ejecución, omitiendo examinar la preparación de la vía, la suficiencia del título y los presupuestos procesales exigidos por el art. 529 del CPCC.</w:t>
      </w:r>
    </w:p>
    <w:p>
      <w:pPr>
        <w:pStyle w:val="[Normal]"/>
        <w:spacing w:line="360" w:lineRule="auto"/>
        <w:ind w:firstLine="1134"/>
        <w:jc w:val="both"/>
        <w:rPr>
          <w:lang w:val="es-AR" w:eastAsia="es-AR" w:bidi="es-AR"/>
        </w:rPr>
      </w:pPr>
      <w:r>
        <w:rPr>
          <w:lang w:val="es-AR" w:eastAsia="es-AR" w:bidi="es-AR"/>
        </w:rPr>
        <w:t xml:space="preserve">Añade que la omisión de la intimación de pago privó a su parte de ejercer todas las excepciones previstas en el art. 542 del CPCC, tales como incompetencia, falta de personería, litispendencia, inhabilidad de título, prescripción, pago, compensación, novación, quita o transacción, así como de ofrecer y producir prueba conforme al art. 547 del CPCC. Destaca que tampoco pudo solicitar la audiencia prevista en el art. 534 del mismo ordenamiento.</w:t>
      </w:r>
    </w:p>
    <w:p>
      <w:pPr>
        <w:pStyle w:val="[Normal]"/>
        <w:spacing w:line="360" w:lineRule="auto"/>
        <w:ind w:firstLine="1134"/>
        <w:jc w:val="both"/>
        <w:rPr>
          <w:lang w:val="es-AR" w:eastAsia="es-AR" w:bidi="es-AR"/>
        </w:rPr>
      </w:pPr>
      <w:r>
        <w:rPr>
          <w:lang w:val="es-AR" w:eastAsia="es-AR" w:bidi="es-AR"/>
        </w:rPr>
        <w:t xml:space="preserve">En sustento de su postura cita doctrina de Arazi y otros autores, quienes destacan el carácter indisponible de la intimación de pago como garantía derivada del derecho de defensa. Asimismo, invoca abundante jurisprudencia de la Cámara Nacional de Apelaciones en lo Comercial, particularmente los precedentes “Banco del Buen Ayre c. Ocampo”, “Boragina c. Consorcio de Copropietarios”, “Banco Comafi c. Santandreu”, “Aeroplat S.A. c. Sánchez” y “Ojea c. Beirwerth”, todos coincidentes en sostener que la intimación de pago constituye un trámite esencial e irrenunciable del juicio ejecutivo, cuya omisión determina la nulidad de la sentencia de trance y remate por afectación del derecho de defensa en juicio.</w:t>
      </w:r>
    </w:p>
    <w:p>
      <w:pPr>
        <w:pStyle w:val="[Normal]"/>
        <w:spacing w:line="360" w:lineRule="auto"/>
        <w:ind w:firstLine="1134"/>
        <w:jc w:val="both"/>
        <w:rPr>
          <w:lang w:val="es-AR" w:eastAsia="es-AR" w:bidi="es-AR"/>
        </w:rPr>
      </w:pPr>
      <w:r>
        <w:rPr>
          <w:lang w:val="es-AR" w:eastAsia="es-AR" w:bidi="es-AR"/>
        </w:rPr>
        <w:t xml:space="preserve">Con base en ello, solicita se declare la nulidad absoluta de la sentencia recurrida y se remitan las actuaciones a otro juzgado, por considerar que el magistrado interviniente ya emitió opinión sobre el fondo de la cuestión.</w:t>
      </w:r>
    </w:p>
    <w:p>
      <w:pPr>
        <w:pStyle w:val="[Normal]"/>
        <w:spacing w:line="360" w:lineRule="auto"/>
        <w:ind w:firstLine="1134"/>
        <w:jc w:val="both"/>
        <w:rPr>
          <w:lang w:val="es-AR" w:eastAsia="es-AR" w:bidi="es-AR"/>
        </w:rPr>
      </w:pPr>
      <w:r>
        <w:rPr>
          <w:lang w:val="es-AR" w:eastAsia="es-AR" w:bidi="es-AR"/>
        </w:rPr>
        <w:t xml:space="preserve">Expresa seguidamente la recurrente sus agravios respecto del rechazo de la excepción de incompetencia. Sostiene que la sentencia incurre en un error conceptual al considerar que se trata de un simple “cobro de pesos”, cuando en realidad se encuentra en trámite una preparación de la vía ejecutiva. Afirma que el juez atribuyó competencia al juzgado interviniente tomando como referencia una cuenta bancaria ubicada en la ciudad de Colón, considerándola lugar de pago, pese a que la transferencia debía efectuarse desde la sede de la demandada, situada en la Ciudad Autónoma de Buenos Aires.</w:t>
      </w:r>
    </w:p>
    <w:p>
      <w:pPr>
        <w:pStyle w:val="[Normal]"/>
        <w:spacing w:line="360" w:lineRule="auto"/>
        <w:ind w:firstLine="1134"/>
        <w:jc w:val="both"/>
        <w:rPr>
          <w:lang w:val="es-AR" w:eastAsia="es-AR" w:bidi="es-AR"/>
        </w:rPr>
      </w:pPr>
      <w:r>
        <w:rPr>
          <w:lang w:val="es-AR" w:eastAsia="es-AR" w:bidi="es-AR"/>
        </w:rPr>
        <w:t xml:space="preserve">Argumenta que la prestación característica del contrato no era el pago del precio sino la entrega del cereal, la cual se habría realizado en la planta ubicada en Wheelwright, provincia de Santa Fe, siendo ese el verdadero lugar de cumplimiento contractual y, el que determina la competencia territorial. Añade que tanto la documentación acompañada como las constancias de ARCA/AFIP acreditan que las operaciones se vinculaban con dicha planta cerealera.</w:t>
      </w:r>
    </w:p>
    <w:p>
      <w:pPr>
        <w:pStyle w:val="[Normal]"/>
        <w:spacing w:line="360" w:lineRule="auto"/>
        <w:ind w:firstLine="1134"/>
        <w:jc w:val="both"/>
        <w:rPr>
          <w:lang w:val="es-AR" w:eastAsia="es-AR" w:bidi="es-AR"/>
        </w:rPr>
      </w:pPr>
      <w:r>
        <w:rPr>
          <w:lang w:val="es-AR" w:eastAsia="es-AR" w:bidi="es-AR"/>
        </w:rPr>
        <w:t xml:space="preserve">Sostiene asimismo que, a falta de pacto expreso sobre el lugar de pago, debe aplicarse la regla del art. 874 del Código Civil y Comercial, según la cual el pago debe efectuarse en el domicilio del deudor al tiempo del nacimiento de la obligación, el cual se encuentra en la Ciudad Autónoma de Buenos Aires. Cita doctrina de Arazi y jurisprudencia de la Cámara Civil y Comercial de Quilmes, Sala II, en autos “Sindicato de Trabajadores de la Industria de la Alimentación c. Laypa S.A.”, donde se consideró que atribuir competencia al lugar donde el acreedor posee una cuenta bancaria desnaturaliza las reglas tradicionales de competencia y afecta el derecho de defensa.</w:t>
      </w:r>
    </w:p>
    <w:p>
      <w:pPr>
        <w:pStyle w:val="[Normal]"/>
        <w:spacing w:line="360" w:lineRule="auto"/>
        <w:ind w:firstLine="1134"/>
        <w:jc w:val="both"/>
        <w:rPr>
          <w:lang w:val="es-AR" w:eastAsia="es-AR" w:bidi="es-AR"/>
        </w:rPr>
      </w:pPr>
      <w:r>
        <w:rPr>
          <w:lang w:val="es-AR" w:eastAsia="es-AR" w:bidi="es-AR"/>
        </w:rPr>
        <w:t xml:space="preserve">Agrega que la resolución tampoco trató adecuadamente el planteo referido a la existencia previa de un beneficio de litigar sin gastos tramitado ante otro juzgado, sosteniendo que correspondía la acumulación de ambos expedientes ante el juez que previno.</w:t>
      </w:r>
    </w:p>
    <w:p>
      <w:pPr>
        <w:pStyle w:val="[Normal]"/>
        <w:spacing w:line="360" w:lineRule="auto"/>
        <w:ind w:firstLine="1134"/>
        <w:jc w:val="both"/>
        <w:rPr>
          <w:lang w:val="es-AR" w:eastAsia="es-AR" w:bidi="es-AR"/>
        </w:rPr>
      </w:pPr>
      <w:r>
        <w:rPr>
          <w:lang w:val="es-AR" w:eastAsia="es-AR" w:bidi="es-AR"/>
        </w:rPr>
        <w:t xml:space="preserve">En consecuencia, solicita la revocación de la resolución apelada y que las actuaciones sean remitidas a la jurisdicción que considera competente, es decir la Ciudad Autónoma de Buenos Aires o la provincia de Santa Fe, o subsidiariamente al juzgado donde tramita el beneficio de litigar sin gastos.</w:t>
      </w:r>
    </w:p>
    <w:p>
      <w:pPr>
        <w:pStyle w:val="[Normal]"/>
        <w:spacing w:line="360" w:lineRule="auto"/>
        <w:ind w:firstLine="1134"/>
        <w:jc w:val="both"/>
        <w:rPr>
          <w:lang w:val="es-AR" w:eastAsia="es-AR" w:bidi="es-AR"/>
        </w:rPr>
      </w:pPr>
      <w:r>
        <w:rPr>
          <w:lang w:val="es-AR" w:eastAsia="es-AR" w:bidi="es-AR"/>
        </w:rPr>
        <w:t xml:space="preserve">Finalmente, deja planteado recurso extraordinario federal para el supuesto de rechazo de sus planteos.</w:t>
      </w:r>
    </w:p>
    <w:p>
      <w:pPr>
        <w:pStyle w:val="[Normal]"/>
        <w:spacing w:line="360" w:lineRule="auto"/>
        <w:ind w:firstLine="1134"/>
        <w:jc w:val="both"/>
        <w:rPr>
          <w:lang w:val="es-AR" w:eastAsia="es-AR" w:bidi="es-AR"/>
        </w:rPr>
      </w:pPr>
      <w:r>
        <w:rPr>
          <w:lang w:val="es-AR" w:eastAsia="es-AR" w:bidi="es-AR"/>
        </w:rPr>
        <w:t xml:space="preserve">A su turno la contraparte rebate todos y cada uno de los puntos de agravio, solicitando que el recurso sea declarado desierto o, en su defecto, sea rechazado en todos sus términos, confirmándose en su totalidad la sentencia apelada, con costas a su cargo.</w:t>
      </w:r>
    </w:p>
    <w:p>
      <w:pPr>
        <w:pStyle w:val="[Normal]"/>
        <w:spacing w:line="360" w:lineRule="auto"/>
        <w:ind w:firstLine="1134"/>
        <w:jc w:val="both"/>
        <w:rPr>
          <w:lang w:val="es-AR" w:eastAsia="es-AR" w:bidi="es-AR"/>
        </w:rPr>
      </w:pPr>
      <w:r>
        <w:rPr>
          <w:lang w:val="es-AR" w:eastAsia="es-AR" w:bidi="es-AR"/>
        </w:rPr>
        <w:t xml:space="preserve">Y, en tratamiento de la cuestión a resolver, corresponde señalar en primer lugar que la apelante sostiene la nulidad de lo actuado por haberse omitido, a su entender, una etapa sustancial del procedimiento de preparación de la vía ejecutiva, sin embargo no advierto la existencia de irregularidad alguna, susceptible de provocar la invalidez pretendida.</w:t>
      </w:r>
    </w:p>
    <w:p>
      <w:pPr>
        <w:pStyle w:val="[Normal]"/>
        <w:spacing w:line="360" w:lineRule="auto"/>
        <w:ind w:firstLine="1134"/>
        <w:jc w:val="both"/>
        <w:rPr>
          <w:lang w:val="es-AR" w:eastAsia="es-AR" w:bidi="es-AR"/>
        </w:rPr>
      </w:pPr>
      <w:r>
        <w:rPr>
          <w:lang w:val="es-AR" w:eastAsia="es-AR" w:bidi="es-AR"/>
        </w:rPr>
        <w:t xml:space="preserve">Y, ello así porque no se advierte que se haya vulnerado la garantía de defensa en juicio, ya que del trámite de la causa resulta que la parte demandada fue citada a comparecer personalmente a los fines previstos por el art. 524 del CPCC,  esto es, para reconocer o desconocer la firma inserta en el instrumento base de la ejecución y que ningún escrito podrá suplir esa comparecencia, en tal sentido  la norma es clara en cuanto a que se trata de un acto personalísimo, indelegable en apoderado.</w:t>
      </w:r>
    </w:p>
    <w:p>
      <w:pPr>
        <w:pStyle w:val="[Normal]"/>
        <w:spacing w:line="360" w:lineRule="auto"/>
        <w:ind w:firstLine="1134"/>
        <w:jc w:val="both"/>
        <w:rPr>
          <w:lang w:val="es-AR" w:eastAsia="es-AR" w:bidi="es-AR"/>
        </w:rPr>
      </w:pPr>
      <w:r>
        <w:rPr>
          <w:lang w:val="es-AR" w:eastAsia="es-AR" w:bidi="es-AR"/>
        </w:rPr>
        <w:t xml:space="preserve">En el caso, la sociedad demandada fue debidamente citada a tales efectos, sin embargo quien compareció fue únicamente su apoderado, mientras que el presidente del directorio (única persona facultada para exteriorizar la voluntad social respecto de la autenticidad del instrumento) no concurrió al acto ni formuló desconocimiento alguno de la firma o del contenido del documento (art. 268 de la Ley General de Sociedades).</w:t>
      </w:r>
    </w:p>
    <w:p>
      <w:pPr>
        <w:pStyle w:val="[Normal]"/>
        <w:spacing w:line="360" w:lineRule="auto"/>
        <w:ind w:firstLine="1134"/>
        <w:jc w:val="both"/>
        <w:rPr>
          <w:lang w:val="es-AR" w:eastAsia="es-AR" w:bidi="es-AR"/>
        </w:rPr>
      </w:pPr>
      <w:r>
        <w:rPr>
          <w:lang w:val="es-AR" w:eastAsia="es-AR" w:bidi="es-AR"/>
        </w:rPr>
        <w:t xml:space="preserve">Frente a dicha conducta, operó la consecuencia legal expresamente prevista por el citado art. 524 del C.P.C. y C., esto es, la firma quedó reconocida de pleno derecho. Consecuentemente, el instrumento privado adquirió aptitud ejecutiva y quedó habilitada la prosecución del proceso conforme las reglas del juicio ejecutivo (Art. 525 C.P.C. y C.).</w:t>
      </w:r>
    </w:p>
    <w:p>
      <w:pPr>
        <w:pStyle w:val="[Normal]"/>
        <w:spacing w:line="360" w:lineRule="auto"/>
        <w:ind w:firstLine="1134"/>
        <w:jc w:val="both"/>
        <w:rPr>
          <w:lang w:val="es-AR" w:eastAsia="es-AR" w:bidi="es-AR"/>
        </w:rPr>
      </w:pPr>
      <w:r>
        <w:rPr>
          <w:lang w:val="es-AR" w:eastAsia="es-AR" w:bidi="es-AR"/>
        </w:rPr>
        <w:t xml:space="preserve">Tampoco resulta atendible el argumento según el cual el juez habría omitido una etapa previa indispensable y la preparación de la vía ejecutiva no quedó “pendiente” como se señala, sino debidamente cumplida por efecto legal de la incomparecencia personal de quien debía reconocer el instrumento, en consecuencia, la sentencia no prescindió de un trámite irrenunciable, sino que resolvió sobre un título ya apto para ser ejecutado.</w:t>
      </w:r>
    </w:p>
    <w:p>
      <w:pPr>
        <w:pStyle w:val="[Normal]"/>
        <w:spacing w:line="360" w:lineRule="auto"/>
        <w:ind w:firstLine="1134"/>
        <w:jc w:val="both"/>
        <w:rPr>
          <w:lang w:val="es-AR" w:eastAsia="es-AR" w:bidi="es-AR"/>
        </w:rPr>
      </w:pPr>
      <w:r>
        <w:rPr>
          <w:lang w:val="es-AR" w:eastAsia="es-AR" w:bidi="es-AR"/>
        </w:rPr>
        <w:t xml:space="preserve">A ello se suma que la parte demandada se presentó, opuso defensas y consintió las resoluciones posteriores, incluido el proveído que dio traslado a la contraria y el despacho que dispuso pasar los autos a resolver, conducta procesal resulta incompatible con la posterior invocación de una nulidad absoluta, ya que en materia de nulidades procesales rige el principio de convalidación, la preclusión y la exigencia de perjuicio concreto; no basta la mera invocación abstracta de posibles defensas no ejercidas.</w:t>
      </w:r>
    </w:p>
    <w:p>
      <w:pPr>
        <w:pStyle w:val="[Normal]"/>
        <w:spacing w:line="360" w:lineRule="auto"/>
        <w:ind w:firstLine="1134"/>
        <w:jc w:val="both"/>
        <w:rPr>
          <w:lang w:val="es-AR" w:eastAsia="es-AR" w:bidi="es-AR"/>
        </w:rPr>
      </w:pPr>
      <w:r>
        <w:rPr>
          <w:lang w:val="es-AR" w:eastAsia="es-AR" w:bidi="es-AR"/>
        </w:rPr>
        <w:t xml:space="preserve"> Las nulidades procesales son, en principio, de carácter relativo y convalidable y el art. 170 del CPCC establece expresamente que la nulidad no podrá ser declarada cuando el acto haya sido consentido, aunque fuera tácitamente, entendiéndose que media consentimiento tácito cuando no se promueve incidente de nulidad dentro de los cinco días subsiguientes al conocimiento del acto.</w:t>
      </w:r>
    </w:p>
    <w:p>
      <w:pPr>
        <w:pStyle w:val="[Normal]"/>
        <w:spacing w:line="360" w:lineRule="auto"/>
        <w:ind w:firstLine="1134"/>
        <w:jc w:val="both"/>
        <w:rPr>
          <w:lang w:val="es-AR" w:eastAsia="es-AR" w:bidi="es-AR"/>
        </w:rPr>
      </w:pPr>
      <w:r>
        <w:rPr>
          <w:lang w:val="es-AR" w:eastAsia="es-AR" w:bidi="es-AR"/>
        </w:rPr>
        <w:t xml:space="preserve">Asimismo, la apelante no promovió incidente de nulidad en primera instancia ante los actos que ahora cuestiona. Por el contrario, participó activa y voluntariamente en el proceso, ejerció defensas y consintió las resoluciones dictadas. Invocar recién ante la sentencia desfavorable una nulidad que no fue planteada oportunamente choca  con el principio de preclusión y con la doctrina de los actos propios.</w:t>
      </w:r>
    </w:p>
    <w:p>
      <w:pPr>
        <w:pStyle w:val="[Normal]"/>
        <w:spacing w:line="360" w:lineRule="auto"/>
        <w:ind w:firstLine="1134"/>
        <w:jc w:val="both"/>
        <w:rPr>
          <w:lang w:val="es-AR" w:eastAsia="es-AR" w:bidi="es-AR"/>
        </w:rPr>
      </w:pPr>
      <w:r>
        <w:rPr>
          <w:lang w:val="es-AR" w:eastAsia="es-AR" w:bidi="es-AR"/>
        </w:rPr>
        <w:t xml:space="preserve">Por ello es que con la providencia del llamado a autos para sentencia del juez de primera instancia, una vez firme, "</w:t>
      </w:r>
      <w:r>
        <w:rPr>
          <w:i/>
          <w:lang w:val="es-AR" w:eastAsia="es-AR" w:bidi="es-AR"/>
        </w:rPr>
        <w:t xml:space="preserve">se convalidan los supuestos vicios procesales anteriores a dicha providencia. Por lo tanto, la exigencia de la reparación de los vicios se debe provocar y obtener en el período en que se produjeron, pues se trata, cuando el expediente llegue al  tribunal superior, de que el procedimiento se encuentre saneado. La trascendencia de la doctrina precitada se observa ante la improcedencia de la denuncia de supuestos vicios de trámite, incurridos en primera instancia, por vía de recurso de apelación. El incidente de nulidad se debe interponer en la misma instancia en que las irregularidades pudieron existir. Al no procederse así, los vicios quedan purgados y, por ende, su consideración resulta inadmisible en la alzada</w:t>
      </w:r>
      <w:r>
        <w:rPr>
          <w:lang w:val="es-AR" w:eastAsia="es-AR" w:bidi="es-AR"/>
        </w:rPr>
        <w:t xml:space="preserve"> "(Fenochietto, Carlos E. , "Código Procesal Civil y Comercial de la Provincia de Buenos Aires ... 9na. edición actualizada y ampliada", Ed. Astrea,  2009, pág. 229).</w:t>
      </w:r>
    </w:p>
    <w:p>
      <w:pPr>
        <w:pStyle w:val="[Normal]"/>
        <w:spacing w:line="360" w:lineRule="auto"/>
        <w:ind w:firstLine="1134"/>
        <w:jc w:val="both"/>
        <w:rPr>
          <w:lang w:val="es-AR" w:eastAsia="es-AR" w:bidi="es-AR"/>
        </w:rPr>
      </w:pPr>
      <w:r>
        <w:rPr>
          <w:lang w:val="es-AR" w:eastAsia="es-AR" w:bidi="es-AR"/>
        </w:rPr>
        <w:t xml:space="preserve">A su vez, el art. 172 del CPCC consagra el principio rector en la materia, no hay nulidad sin perjuicio, el apelante enumera genéricamente una serie de excepciones que afirma no haber podido oponer (pago, prescripción, inhabilidad de título, litispendencia, quita, compensación, etc.), pero en ningún momento acredita ni siquiera mínimamente la existencia, verosimilitud o seriedad de alguna de esas defensas, por lo que la nulidad invocada es puramente abstracta.</w:t>
      </w:r>
    </w:p>
    <w:p>
      <w:pPr>
        <w:pStyle w:val="[Normal]"/>
        <w:spacing w:line="360" w:lineRule="auto"/>
        <w:ind w:firstLine="1134"/>
        <w:jc w:val="both"/>
        <w:rPr>
          <w:lang w:val="es-AR" w:eastAsia="es-AR" w:bidi="es-AR"/>
        </w:rPr>
      </w:pPr>
      <w:r>
        <w:rPr>
          <w:lang w:val="es-AR" w:eastAsia="es-AR" w:bidi="es-AR"/>
        </w:rPr>
        <w:t xml:space="preserve">Es por todo ello, esto es reconocimiento ficto operado por la propia conducta omisiva del ejecutado, presentación espontánea con ejercicio de defensas propias del juicio ejecutivo, consentimiento tácito de las resoluciones dictadas, preclusión, aplicación de la doctrina de los actos propios y ausencia de perjuicio concreto demostrado, que el primer agravio no puede prosperar. </w:t>
      </w:r>
    </w:p>
    <w:p>
      <w:pPr>
        <w:pStyle w:val="[Normal]"/>
        <w:spacing w:line="360" w:lineRule="auto"/>
        <w:ind w:firstLine="1134"/>
        <w:jc w:val="both"/>
        <w:rPr>
          <w:lang w:val="es-AR" w:eastAsia="es-AR" w:bidi="es-AR"/>
        </w:rPr>
      </w:pPr>
      <w:r>
        <w:rPr>
          <w:lang w:val="es-AR" w:eastAsia="es-AR" w:bidi="es-AR"/>
        </w:rPr>
        <w:t xml:space="preserve">En cuanto a la incompetencia, la acción fue promovida sobre la base de un reconocimiento de deuda, instrumento privado que contiene una obligación dineraria determinada y expresa previsión relativa al lugar de cumplimiento: el depósito en las cuentas bancarias de la actora en Banco Nación y Santander Rio, ambos sucursal Colón, provincia de Buenos Aires.</w:t>
      </w:r>
    </w:p>
    <w:p>
      <w:pPr>
        <w:pStyle w:val="[Normal]"/>
        <w:spacing w:line="360" w:lineRule="auto"/>
        <w:ind w:firstLine="1134"/>
        <w:jc w:val="both"/>
        <w:rPr>
          <w:lang w:val="es-AR" w:eastAsia="es-AR" w:bidi="es-AR"/>
        </w:rPr>
      </w:pPr>
      <w:r>
        <w:rPr>
          <w:lang w:val="es-AR" w:eastAsia="es-AR" w:bidi="es-AR"/>
        </w:rPr>
        <w:t xml:space="preserve">La apelante intenta disociar el "lugar de cumplimiento" del "lugar de pago", argumentando que el pago podría haberse efectuado desde cualquier lugar mediante transferencia electrónica, argumento que no es sostenible, en tanto que  la modalidad de pago electrónico no deslocaliza el lugar de cumplimiento de la obligación, es decir la cuenta bancaria receptora identifica claramente el lugar acordado, que es Colón, Provincia de Buenos Aires, dentro del Departamento Judicial de Pergamino.</w:t>
      </w:r>
    </w:p>
    <w:p>
      <w:pPr>
        <w:pStyle w:val="[Normal]"/>
        <w:spacing w:line="360" w:lineRule="auto"/>
        <w:ind w:firstLine="1134"/>
        <w:jc w:val="both"/>
        <w:rPr>
          <w:lang w:val="es-AR" w:eastAsia="es-AR" w:bidi="es-AR"/>
        </w:rPr>
      </w:pPr>
      <w:r>
        <w:rPr>
          <w:lang w:val="es-AR" w:eastAsia="es-AR" w:bidi="es-AR"/>
        </w:rPr>
        <w:t xml:space="preserve">No se trata (como pretende la recurrente) de atribuir competencia en función del domicilio bancario de la acreedora como criterio unilateral y arbitrario, sino de respetar lo que las propias partes establecieron en el instrumento que suscribieron. </w:t>
      </w:r>
    </w:p>
    <w:p>
      <w:pPr>
        <w:pStyle w:val="[Normal]"/>
        <w:spacing w:line="360" w:lineRule="auto"/>
        <w:ind w:firstLine="1134"/>
        <w:jc w:val="both"/>
        <w:rPr>
          <w:lang w:val="es-AR" w:eastAsia="es-AR" w:bidi="es-AR"/>
        </w:rPr>
      </w:pPr>
      <w:r>
        <w:rPr>
          <w:lang w:val="es-AR" w:eastAsia="es-AR" w:bidi="es-AR"/>
        </w:rPr>
        <w:t xml:space="preserve">Hay un lugar de pago convencionalmente determinado, y ese lugar fija la competencia conforme la regla principal del art. 5 inc. 3° C.P.C. y C., el cual establece que en las acciones personales es competente el juez del lugar en que deba cumplirse la obligación; y en su defecto, a elección del actor, el del domicilio del deudor o el del lugar del contrato. </w:t>
      </w:r>
    </w:p>
    <w:p>
      <w:pPr>
        <w:pStyle w:val="[Normal]"/>
        <w:spacing w:line="360" w:lineRule="auto"/>
        <w:ind w:firstLine="1134"/>
        <w:jc w:val="both"/>
        <w:rPr>
          <w:lang w:val="es-AR" w:eastAsia="es-AR" w:bidi="es-AR"/>
        </w:rPr>
      </w:pPr>
      <w:r>
        <w:rPr>
          <w:lang w:val="es-AR" w:eastAsia="es-AR" w:bidi="es-AR"/>
        </w:rPr>
        <w:t xml:space="preserve">Es que el reconocimiento de deuda no es un accesorio del contrato de compraventa de cereales que lo originó, sino que constituye una obligación dineraria autónoma, que fija por sí misma las condiciones del pago, por lo cual el análisis de la competencia territorial debe realizarse en función de dicho instrumento y no del contrato subyacente.</w:t>
      </w:r>
    </w:p>
    <w:p>
      <w:pPr>
        <w:pStyle w:val="[Normal]"/>
        <w:spacing w:line="360" w:lineRule="auto"/>
        <w:ind w:firstLine="1134"/>
        <w:jc w:val="both"/>
        <w:rPr>
          <w:lang w:val="es-AR" w:eastAsia="es-AR" w:bidi="es-AR"/>
        </w:rPr>
      </w:pPr>
      <w:r>
        <w:rPr>
          <w:lang w:val="es-AR" w:eastAsia="es-AR" w:bidi="es-AR"/>
        </w:rPr>
        <w:t xml:space="preserve">Por ello la obligación que instrumenta el reconocimiento de deuda es una obligación de dar dinero y su "lugar de cumplimiento" es, precisamente, el lugar en que ese dinero debía ser pagado y del propio instrumento base de la ejecución, surge que el pago debía ser efectuado mediante depósito en cuentas bancarias de la parte actora radicadas en sucursales bancarias de la ciudad de Colón, Provincia de Buenos Aires.</w:t>
      </w:r>
    </w:p>
    <w:p>
      <w:pPr>
        <w:pStyle w:val="[Normal]"/>
        <w:spacing w:line="360" w:lineRule="auto"/>
        <w:ind w:firstLine="1134"/>
        <w:jc w:val="both"/>
        <w:rPr>
          <w:lang w:val="es-AR" w:eastAsia="es-AR" w:bidi="es-AR"/>
        </w:rPr>
      </w:pPr>
      <w:r>
        <w:rPr>
          <w:lang w:val="es-AR" w:eastAsia="es-AR" w:bidi="es-AR"/>
        </w:rPr>
        <w:t xml:space="preserve">El argumento de la apelante, dirigido a desplazar la competencia hacia el contrato subyacente de entrega de cereal o hacia el domicilio social de la demandada, no modifica la solución, en tanto que lo determinante aquí es el título ejecutivo base de la acción y el lugar de cumplimiento expresamente pactado para la obligación reclamada y la discusión sobre la prestación originaria no altera la claridad del reconocimiento de deuda base de esta ejecución.</w:t>
      </w:r>
    </w:p>
    <w:p>
      <w:pPr>
        <w:pStyle w:val="[Normal]"/>
        <w:spacing w:line="360" w:lineRule="auto"/>
        <w:ind w:firstLine="1134"/>
        <w:jc w:val="both"/>
        <w:rPr>
          <w:lang w:val="es-AR" w:eastAsia="es-AR" w:bidi="es-AR"/>
        </w:rPr>
      </w:pPr>
      <w:r>
        <w:rPr>
          <w:lang w:val="es-AR" w:eastAsia="es-AR" w:bidi="es-AR"/>
        </w:rPr>
        <w:t xml:space="preserve">Llevado el razonamiento de la apelante a sus consecuencias lógicas, la regla atributiva de competencia fundada en el lugar de cumplimiento de la obligación quedaría prácticamente vaciada de contenido. En efecto, si por la sola circunstancia de que el pago pueda instrumentarse mediante transferencia electrónica se entendiera que la obligación puede cumplirse desde cualquier punto del país -o aun desde el exterior-, entonces ningún lugar conservaría relevancia jurídica como sede de cumplimiento. La consecuencia absurda sería que una previsión contractual expresa sobre depósito en determinadas cuentas bancarias carecería de todo efecto procesal, pues bastaría invocar la ubicuidad técnica de la operación electrónica para neutralizar el lugar de pago pactado.</w:t>
      </w:r>
    </w:p>
    <w:p>
      <w:pPr>
        <w:pStyle w:val="[Normal]"/>
        <w:spacing w:line="360" w:lineRule="auto"/>
        <w:ind w:firstLine="1134"/>
        <w:jc w:val="both"/>
        <w:rPr>
          <w:lang w:val="es-AR" w:eastAsia="es-AR" w:bidi="es-AR"/>
        </w:rPr>
      </w:pPr>
      <w:r>
        <w:rPr>
          <w:lang w:val="es-AR" w:eastAsia="es-AR" w:bidi="es-AR"/>
        </w:rPr>
        <w:t xml:space="preserve">Tal interpretación no puede admitirse, la transferencia electrónica es sólo el medio instrumental elegido para ejecutar el pago, pero no altera el dato jurídico relevante: el destino convenido de los fondos y la cuenta receptora indicada en el título. Confundir el punto físico desde el cual el deudor ordena la transferencia con el lugar de cumplimiento importaría sustituir un criterio objetivo y verificable -la cuenta bancaria designada y su radicación- por un factor contingente, unilateral y móvil, dependiente de dónde se encuentre el deudor al momento de operar electrónicamente. Bajo esa premisa, la competencia territorial quedaría librada a una circunstancia accidental, lo que desnaturalizaría el art. 5 inc. 3° del CPCC y frustraría la finalidad de certeza que persigue la regla del lugar de cumplimiento.</w:t>
      </w:r>
    </w:p>
    <w:p>
      <w:pPr>
        <w:pStyle w:val="[Normal]"/>
        <w:spacing w:line="360" w:lineRule="auto"/>
        <w:ind w:firstLine="1134"/>
        <w:jc w:val="both"/>
        <w:rPr>
          <w:lang w:val="es-AR" w:eastAsia="es-AR" w:bidi="es-AR"/>
        </w:rPr>
      </w:pPr>
      <w:r>
        <w:rPr>
          <w:lang w:val="es-AR" w:eastAsia="es-AR" w:bidi="es-AR"/>
        </w:rPr>
        <w:t xml:space="preserve">En igual sentido, no advierto que la referencia al beneficio de litigar sin gastos tenga virtualidad para fijar competencia en esta acción principal ni para imponer una acumulación forzosa, en tanto se trata de un trámite autónomo que no desplaza, por sí, las reglas de competencia aplicables al proceso ejecutivo principal.</w:t>
      </w:r>
    </w:p>
    <w:p>
      <w:pPr>
        <w:pStyle w:val="[Normal]"/>
        <w:spacing w:line="360" w:lineRule="auto"/>
        <w:ind w:firstLine="1134"/>
        <w:jc w:val="both"/>
        <w:rPr>
          <w:lang w:val="es-AR" w:eastAsia="es-AR" w:bidi="es-AR"/>
        </w:rPr>
      </w:pPr>
      <w:r>
        <w:rPr>
          <w:lang w:val="es-AR" w:eastAsia="es-AR" w:bidi="es-AR"/>
        </w:rPr>
        <w:t xml:space="preserve">La eventualidad de que ese beneficio haya sido radicado en otro juzgado con anterioridad no modifica las reglas de competencia territorial que rigen la acción principal, las cuales son de orden público.</w:t>
      </w:r>
    </w:p>
    <w:p>
      <w:pPr>
        <w:pStyle w:val="[Normal]"/>
        <w:spacing w:line="360" w:lineRule="auto"/>
        <w:ind w:firstLine="1134"/>
        <w:jc w:val="both"/>
        <w:rPr>
          <w:lang w:val="es-AR" w:eastAsia="es-AR" w:bidi="es-AR"/>
        </w:rPr>
      </w:pPr>
      <w:r>
        <w:rPr>
          <w:lang w:val="es-AR" w:eastAsia="es-AR" w:bidi="es-AR"/>
        </w:rPr>
        <w:t xml:space="preserve">En definitiva la sentencia de primera instancia ha aplicado correctamente el art. 5 inc. 3° CPCC, al identificar el lugar de cumplimiento de la obligación -pago en cuenta bancaria radicada en Colón, Provincia de Buenos Aires- como el factor atributivo de competencia y con ello este Departamento Judicial de Pergamino es el competente para entender en estas actuaciones.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Costas al apelante en su calidad de vencido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Costas al apelante en su calidad de vencido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10:01:31 -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10:15:05 -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12:36:54 -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‰8p")è&amp;}]nMŠ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248002090006936178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30/06/2026 12:37:07 hs. bajo el número RS-114-2026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