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6080-26</w:t>
      </w:r>
      <w:r>
        <w:rPr>
          <w:lang w:val="es-AR" w:eastAsia="es-AR" w:bidi="es-AR"/>
        </w:rPr>
        <w:t xml:space="preserve"> caratulada </w:t>
      </w:r>
      <w:r>
        <w:rPr>
          <w:b/>
          <w:lang w:val="es-AR" w:eastAsia="es-AR" w:bidi="es-AR"/>
        </w:rPr>
        <w:t xml:space="preserve">"</w:t>
      </w:r>
      <w:r>
        <w:rPr>
          <w:b/>
          <w:color w:val="000000"/>
          <w:lang w:val="es-AR" w:eastAsia="es-AR" w:bidi="es-AR"/>
        </w:rPr>
        <w:t xml:space="preserve">ROCHA BENITO FLORENCIO S/ SUCESION AB-INTESTATO</w:t>
      </w:r>
      <w:r>
        <w:rPr>
          <w:b/>
          <w:lang w:val="es-AR" w:eastAsia="es-AR" w:bidi="es-AR"/>
        </w:rPr>
        <w:t xml:space="preserve">"</w:t>
      </w:r>
      <w:r>
        <w:rPr>
          <w:lang w:val="es-AR" w:eastAsia="es-AR" w:bidi="es-AR"/>
        </w:rPr>
        <w:t xml:space="preserve">, Expte. </w:t>
      </w:r>
      <w:r>
        <w:rPr>
          <w:color w:val="000000"/>
          <w:lang w:val="es-AR" w:eastAsia="es-AR" w:bidi="es-AR"/>
        </w:rPr>
        <w:t xml:space="preserve">91.108</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decidió </w:t>
      </w:r>
      <w:r>
        <w:rPr>
          <w:lang w:val="es-AR" w:eastAsia="es-AR" w:bidi="es-AR"/>
        </w:rPr>
        <w:t xml:space="preserve"> que la Sra. Cecilia del Luján Raimundo carece de legitimación para iniciar la presente sucesión.-</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4-5-2026 por </w:t>
      </w:r>
      <w:r>
        <w:rPr>
          <w:lang w:val="es-AR" w:eastAsia="es-AR" w:bidi="es-AR"/>
        </w:rPr>
        <w:t xml:space="preserve">Cecilia del Luján Raimundo, concedido el 6-5-2026 en relación y con efecto suspensivo.-</w:t>
      </w:r>
    </w:p>
    <w:p>
      <w:pPr>
        <w:pStyle w:val="[Normal]"/>
        <w:spacing w:line="360" w:lineRule="auto"/>
        <w:ind w:firstLine="1134"/>
        <w:jc w:val="both"/>
        <w:rPr>
          <w:lang w:val="es-AR" w:eastAsia="es-AR" w:bidi="es-AR"/>
        </w:rPr>
      </w:pPr>
      <w:r>
        <w:rPr>
          <w:lang w:val="es-AR" w:eastAsia="es-AR" w:bidi="es-AR"/>
        </w:rPr>
        <w:t xml:space="preserve">Elevados los autos a esta Alzada con fecha 12-5-2026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remedio interpuesto por la Sra. Cecilia del Luján Raimundo -por derecho propio-, y con patrocinio del Dr. Víctor Manuel Sáez se dirige contra la resolución dictada por la jueza de grado con fecha 29 de abril de 2026, y la resolución de fecha 4 de mayo de 2026 que denegó la revocatoria y concedió la apelación con efecto suspensivo.-</w:t>
      </w:r>
    </w:p>
    <w:p>
      <w:pPr>
        <w:pStyle w:val="[Normal]"/>
        <w:spacing w:line="360" w:lineRule="auto"/>
        <w:ind w:firstLine="1134"/>
        <w:jc w:val="both"/>
        <w:rPr>
          <w:lang w:val="es-AR" w:eastAsia="es-AR" w:bidi="es-AR"/>
        </w:rPr>
      </w:pPr>
      <w:r>
        <w:rPr>
          <w:lang w:val="es-AR" w:eastAsia="es-AR" w:bidi="es-AR"/>
        </w:rPr>
        <w:t xml:space="preserve">De las constancias surge que la Sra. Cecilia del Luján Raimundo promovió apertura de proceso sucesorio ab-intestato del Sr. Benito Florencio Rocha, invocando su carácter de condómina del inmueble que dice oportunamente denunciado citando la existencia de una escritura pública. Indicó, asimismo, que los herederos del causante -sus hijos- no han promovido el trámite sucesorio pese al tiempo transcurrido desde el deceso.-</w:t>
      </w:r>
    </w:p>
    <w:p>
      <w:pPr>
        <w:pStyle w:val="[Normal]"/>
        <w:spacing w:line="360" w:lineRule="auto"/>
        <w:ind w:firstLine="1134"/>
        <w:jc w:val="both"/>
        <w:rPr>
          <w:lang w:val="es-AR" w:eastAsia="es-AR" w:bidi="es-AR"/>
        </w:rPr>
      </w:pPr>
      <w:r>
        <w:rPr>
          <w:lang w:val="es-AR" w:eastAsia="es-AR" w:bidi="es-AR"/>
        </w:rPr>
        <w:t xml:space="preserve">El Juez de grado rechazó la presentación por considerar que la peticionante carecía de legitimación para instar el proceso sucesorio, señalando además, obiter dicta, que no resultaría competente atento el último domicilio del causante consignado en la partida de defunción (ciudad de Buenos Aires).-</w:t>
      </w:r>
    </w:p>
    <w:p>
      <w:pPr>
        <w:pStyle w:val="[Normal]"/>
        <w:spacing w:line="360" w:lineRule="auto"/>
        <w:ind w:firstLine="1134"/>
        <w:jc w:val="both"/>
        <w:rPr>
          <w:lang w:val="es-AR" w:eastAsia="es-AR" w:bidi="es-AR"/>
        </w:rPr>
      </w:pPr>
      <w:r>
        <w:rPr>
          <w:lang w:val="es-AR" w:eastAsia="es-AR" w:bidi="es-AR"/>
        </w:rPr>
        <w:t xml:space="preserve">Contra dicha resolución, la recurrente interpuso recurso de revocatoria con apelación en subsidio, expresando agravios que serán analizados a continuación.-</w:t>
      </w:r>
    </w:p>
    <w:p>
      <w:pPr>
        <w:pStyle w:val="[Normal]"/>
        <w:spacing w:line="360" w:lineRule="auto"/>
        <w:ind w:firstLine="1134"/>
        <w:jc w:val="both"/>
        <w:rPr>
          <w:lang w:val="es-AR" w:eastAsia="es-AR" w:bidi="es-AR"/>
        </w:rPr>
      </w:pPr>
      <w:r>
        <w:rPr>
          <w:lang w:val="es-AR" w:eastAsia="es-AR" w:bidi="es-AR"/>
        </w:rPr>
        <w:t xml:space="preserve">La apelante se duele, en síntesis, porque: (a) la resolución impugnada confundió su calidad de condómina con la de concubina/conviviente supérstite, soslayando el interés jurídico propio que emana de la cotitularidad dominial acreditada; (b) la apertura del proceso sucesorio resulta indispensable para determinar quiénes suceden al cotitular registral fallecido y así poder ejercer los derechos propios del condominio, incluyendo la posible acción de división; (c) subsidiariamente, solicita al menos la intimación de los herederos denunciados conforme el art. 2289 del CCyC, en tanto los arts. 724, 725 y 729 del CPCC no exigen que quien promueva el sucesorio sea necesariamente heredero.-</w:t>
      </w:r>
    </w:p>
    <w:p>
      <w:pPr>
        <w:pStyle w:val="[Normal]"/>
        <w:spacing w:line="360" w:lineRule="auto"/>
        <w:ind w:firstLine="1134"/>
        <w:jc w:val="both"/>
        <w:rPr>
          <w:lang w:val="es-AR" w:eastAsia="es-AR" w:bidi="es-AR"/>
        </w:rPr>
      </w:pPr>
      <w:r>
        <w:rPr>
          <w:lang w:val="es-AR" w:eastAsia="es-AR" w:bidi="es-AR"/>
        </w:rPr>
        <w:t xml:space="preserve">1) Cuestión previa: competencia: Cabe señalar preliminarmente que la observación de la operadora de grado referida a su eventual falta de competencia configura un pronunciamiento obiter dicta que no integra la parte dispositiva de la resolución recurrida, por lo que no ha sido objeto de agravio autónomo. Sin perjuicio de ello, corresponde recordar que en materia de procesos sucesorios rige la competencia del juez del último domicilio del causante (art. 2336 del CCyC); extremo cuya determinación exige la ponderación de prueba que excede el estado actual del trámite. En consecuencia, dicha cuestión deberá ser resuelta en la instancia de origen una vez que la causa retorne.-</w:t>
      </w:r>
    </w:p>
    <w:p>
      <w:pPr>
        <w:pStyle w:val="[Normal]"/>
        <w:spacing w:line="360" w:lineRule="auto"/>
        <w:ind w:firstLine="1134"/>
        <w:jc w:val="both"/>
        <w:rPr>
          <w:lang w:val="es-AR" w:eastAsia="es-AR" w:bidi="es-AR"/>
        </w:rPr>
      </w:pPr>
      <w:r>
        <w:rPr>
          <w:lang w:val="es-AR" w:eastAsia="es-AR" w:bidi="es-AR"/>
        </w:rPr>
        <w:t xml:space="preserve">2) Legitimación de la condómina para promover el proceso sucesorio: Es cierto como lo menciona el recurrente que debe distinguirse la calidad de condómina de aquella que transita por la calidad de concubina del causante.-</w:t>
      </w:r>
    </w:p>
    <w:p>
      <w:pPr>
        <w:pStyle w:val="[Normal]"/>
        <w:spacing w:line="360" w:lineRule="auto"/>
        <w:ind w:firstLine="1134"/>
        <w:jc w:val="both"/>
        <w:rPr>
          <w:lang w:val="es-AR" w:eastAsia="es-AR" w:bidi="es-AR"/>
        </w:rPr>
      </w:pPr>
      <w:r>
        <w:rPr>
          <w:lang w:val="es-AR" w:eastAsia="es-AR" w:bidi="es-AR"/>
        </w:rPr>
        <w:t xml:space="preserve">Pero lo cierto es que si bien el art. 724 del CCCN permite solicitar la apertura del proceso sucesorio a quien justifique prima facie su carácter de parte legítima, en la especie no se verifica que se haya adjuntado la copia o testimonio de la escritura pública que cita el recurrente, la cual no obra en las constancias digitalizadas, ni tampoco surge de la MEV ni ha sido reservada en el Juzgado de primera instancia.-</w:t>
      </w:r>
    </w:p>
    <w:p>
      <w:pPr>
        <w:pStyle w:val="[Normal]"/>
        <w:spacing w:line="360" w:lineRule="auto"/>
        <w:ind w:firstLine="1134"/>
        <w:jc w:val="both"/>
        <w:rPr>
          <w:lang w:val="es-AR" w:eastAsia="es-AR" w:bidi="es-AR"/>
        </w:rPr>
      </w:pPr>
      <w:r>
        <w:rPr>
          <w:lang w:val="es-AR" w:eastAsia="es-AR" w:bidi="es-AR"/>
        </w:rPr>
        <w:t xml:space="preserve">Ergo, contrariamente a lo que señala no ha habido un error de encuadre, ya que la legitimación no surge por la existencia de la unión convivencial ni tampoco surgiría  por su calidad de condómina ya que no ha sido acreditada la misma con la documentación correspondiente, que si bien menciona no se ha agregado en autos.-</w:t>
      </w:r>
    </w:p>
    <w:p>
      <w:pPr>
        <w:pStyle w:val="[Normal]"/>
        <w:spacing w:line="360" w:lineRule="auto"/>
        <w:ind w:firstLine="1134"/>
        <w:jc w:val="both"/>
        <w:rPr>
          <w:lang w:val="es-AR" w:eastAsia="es-AR" w:bidi="es-AR"/>
        </w:rPr>
      </w:pPr>
      <w:r>
        <w:rPr>
          <w:lang w:val="es-AR" w:eastAsia="es-AR" w:bidi="es-AR"/>
        </w:rPr>
        <w:t xml:space="preserve">El art. 724 del CPCC establece que para solicitar la apertura del proceso sucesorio debe acreditarse "prima facie" el carácter de parte legítima, sin que la norma restrinja esa legitimidad exclusivamente a los herederos. La doctrina y jurisprudencia coinciden en que el concepto de "parte legítima" abarca a todo aquel que acredite un interés jurídico directo, actual y concreto vinculado con la determinación de los sucesores del causante.-</w:t>
      </w:r>
    </w:p>
    <w:p>
      <w:pPr>
        <w:pStyle w:val="[Normal]"/>
        <w:spacing w:line="360" w:lineRule="auto"/>
        <w:ind w:firstLine="1134"/>
        <w:jc w:val="both"/>
        <w:rPr>
          <w:lang w:val="es-AR" w:eastAsia="es-AR" w:bidi="es-AR"/>
        </w:rPr>
      </w:pPr>
      <w:r>
        <w:rPr>
          <w:lang w:val="es-AR" w:eastAsia="es-AR" w:bidi="es-AR"/>
        </w:rPr>
        <w:t xml:space="preserve">En tal sentido, la Suprema Corte de Justicia de la Provincia de Buenos Aires ha sostenido que se encuentra legitimada para promover la apertura del sucesorio aquella persona que, sin pretender ser declarada heredera, necesita la determinación de los causahabientes del fallecido para ejercer derechos propios vinculados al patrimonio relicto (SCBA, sentencia del 19/10/2016, "R., G. R. s/Sucesión ab-intestato"; sentencia del 9/12/2010, "B., H. H. s/Sucesión Ab-intestato").-</w:t>
      </w:r>
    </w:p>
    <w:p>
      <w:pPr>
        <w:pStyle w:val="[Normal]"/>
        <w:spacing w:line="360" w:lineRule="auto"/>
        <w:ind w:firstLine="1134"/>
        <w:jc w:val="both"/>
        <w:rPr>
          <w:lang w:val="es-AR" w:eastAsia="es-AR" w:bidi="es-AR"/>
        </w:rPr>
      </w:pPr>
      <w:r>
        <w:rPr>
          <w:lang w:val="es-AR" w:eastAsia="es-AR" w:bidi="es-AR"/>
        </w:rPr>
        <w:t xml:space="preserve">Es cierto que la muerte de uno de los condóminos genera una situación de indeterminación subjetiva que impide al condómino supérstite conocer con certeza quiénes son los sujetos habilitados para representar la porción indivisa del causante en todo lo atinente a la cosa común: administración, gastos de conservación, uso, frutos, eventual división del condominio, etc. Mientras no se determine judicialmente quiénes son los herederos, el condómino supérstite carece de interlocutor jurídico cierto, lo que lesiona en forma directa el ejercicio regular de su derecho de propiedad (art. 17 CN). Pero en la especie esta calidad de condómina no ha sido debidamente acreditada y era imperativo de su propio interés (art. 375 del CPCC ) que no ha satisfecho el doliente.-</w:t>
      </w:r>
    </w:p>
    <w:p>
      <w:pPr>
        <w:pStyle w:val="[Normal]"/>
        <w:spacing w:line="360" w:lineRule="auto"/>
        <w:ind w:firstLine="1134"/>
        <w:jc w:val="both"/>
        <w:rPr>
          <w:lang w:val="es-AR" w:eastAsia="es-AR" w:bidi="es-AR"/>
        </w:rPr>
      </w:pPr>
      <w:r>
        <w:rPr>
          <w:lang w:val="es-AR" w:eastAsia="es-AR" w:bidi="es-AR"/>
        </w:rPr>
        <w:t xml:space="preserve">En consecuencia, no corresponde reconocer a la Sra. Raimundo legitimación prima facie para instar el proceso sucesorio en su carácter de condómina y tercera interesada, en los términos de los arts. 724 y concordantes del CPCC y 2289 del CCyC.-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subsidiariamente deducido y confirmar en todas sus partes el decisorio de grado.-</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subsidiariamente deducido y confirmar en todas sus partes el decisorio de grado.-</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20315420491@NOTIFICACIONES.SCBA.GOV.AR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10:34:33 -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10:56:16 -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13:26:10 -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‰87")è&amp;À(LGŠ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242302090006950844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18/06/2026 13:26:44 hs. bajo el número RS-105-2026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