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6028-26</w:t>
      </w:r>
      <w:r>
        <w:rPr>
          <w:lang w:val="es-AR" w:eastAsia="es-AR" w:bidi="es-AR"/>
        </w:rPr>
        <w:t xml:space="preserve"> caratulada </w:t>
      </w:r>
      <w:r>
        <w:rPr>
          <w:b/>
          <w:lang w:val="es-AR" w:eastAsia="es-AR" w:bidi="es-AR"/>
        </w:rPr>
        <w:t xml:space="preserve">"</w:t>
      </w:r>
      <w:r>
        <w:rPr>
          <w:b/>
          <w:color w:val="000000"/>
          <w:lang w:val="es-AR" w:eastAsia="es-AR" w:bidi="es-AR"/>
        </w:rPr>
        <w:t xml:space="preserve">AGRICULTORES FEDERADOS ARGENTINOS SCL  C/ DELPUPO ALEJANDRO DANIEL Y OTROS S/ EJECUCION HIPOTECARIA</w:t>
      </w:r>
      <w:r>
        <w:rPr>
          <w:b/>
          <w:lang w:val="es-AR" w:eastAsia="es-AR" w:bidi="es-AR"/>
        </w:rPr>
        <w:t xml:space="preserve">"</w:t>
      </w:r>
      <w:r>
        <w:rPr>
          <w:lang w:val="es-AR" w:eastAsia="es-AR" w:bidi="es-AR"/>
        </w:rPr>
        <w:t xml:space="preserve">, Expte. N° 68.258 del Juzgado Civil y Comercial n° 3,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señor Juez de la anterior sede en esta causa de trance y remate, mandó llevar adelante la ejecución hasta tanto los ejecutados Delpupo Dante Hugo y Delpupo Alejandro Sociedad De Hecho, Justo Dante Delpupo, Hugo Dante Delpupo y Alejandro Daniel Delpupo hagan al acreedor Agricultores Federados Argentinos S.C.L. íntegro pago del capital reclamado, de dólares diez mil ochocientos veintiséis con 93/100 (U$S 10.826,93) y de pesos siete millones novecientos diecisiete mil setecientos cuarenta y nueve con 36/100 ($7.917.749,36), con más los intereses.</w:t>
      </w:r>
    </w:p>
    <w:p>
      <w:pPr>
        <w:pStyle w:val="[Normal]"/>
        <w:spacing w:line="360" w:lineRule="auto"/>
        <w:ind w:firstLine="1134"/>
        <w:jc w:val="both"/>
        <w:rPr>
          <w:lang w:val="es-AR" w:eastAsia="es-AR" w:bidi="es-AR"/>
        </w:rPr>
      </w:pPr>
      <w:r>
        <w:rPr>
          <w:lang w:val="es-AR" w:eastAsia="es-AR" w:bidi="es-AR"/>
        </w:rPr>
        <w:t xml:space="preserve">En disconformidad con lo resuelto, el apoderado de la parte actora interpuso recurso de apelación con fecha 24-2-2026, fundándolo mediante presentación de fecha 6-3-2026. Del memorial se confirió traslado a la contraparte, quien lo contestó el 25-3-2026.</w:t>
      </w:r>
    </w:p>
    <w:p>
      <w:pPr>
        <w:pStyle w:val="[Normal]"/>
        <w:spacing w:line="360" w:lineRule="auto"/>
        <w:ind w:firstLine="1134"/>
        <w:jc w:val="both"/>
        <w:rPr>
          <w:lang w:val="es-AR" w:eastAsia="es-AR" w:bidi="es-AR"/>
        </w:rPr>
      </w:pPr>
      <w:r>
        <w:rPr>
          <w:lang w:val="es-AR" w:eastAsia="es-AR" w:bidi="es-AR"/>
        </w:rPr>
        <w:t xml:space="preserve">Asimismo, los demandados DELPUPO DANTE HUGO Y ALEJANDRO S.H. y el codemandado Justo Dante Delpupo, con patrocinio letrado del Dr. Jorge Juan Bedouret, interpusieron recurso de apelación el 20-2-2026, efectuando expresa reserva del caso federal. Dichos recursos fueron concedidos en relación mediante providencia de fecha 26-2-2026.</w:t>
      </w:r>
    </w:p>
    <w:p>
      <w:pPr>
        <w:pStyle w:val="[Normal]"/>
        <w:spacing w:line="360" w:lineRule="auto"/>
        <w:ind w:firstLine="1134"/>
        <w:jc w:val="both"/>
        <w:rPr>
          <w:lang w:val="es-AR" w:eastAsia="es-AR" w:bidi="es-AR"/>
        </w:rPr>
      </w:pPr>
      <w:r>
        <w:rPr>
          <w:lang w:val="es-AR" w:eastAsia="es-AR" w:bidi="es-AR"/>
        </w:rPr>
        <w:t xml:space="preserve">Con fecha 31-3-2026 se tuvo por contestado en término el traslado conferido a la parte actora. A su vez, ante la falta de presentación del memorial por parte de los demandados apelantes, se les tuvo por perdido el derecho dejado de usar y se declaró desierto el recurso interpuesto.</w:t>
      </w:r>
    </w:p>
    <w:p>
      <w:pPr>
        <w:pStyle w:val="[Normal]"/>
        <w:spacing w:line="360" w:lineRule="auto"/>
        <w:ind w:firstLine="1134"/>
        <w:jc w:val="both"/>
        <w:rPr>
          <w:lang w:val="es-AR" w:eastAsia="es-AR" w:bidi="es-AR"/>
        </w:rPr>
      </w:pPr>
      <w:r>
        <w:rPr>
          <w:lang w:val="es-AR" w:eastAsia="es-AR" w:bidi="es-AR"/>
        </w:rPr>
        <w:t xml:space="preserve">Elevadas las actuaciones a esta Alzada el 31-3-2026, se dispuso el llamamiento de autos para resolver mediante providencia de fecha 7-4-2026. Encontrándose firme dicho proveído, la causa ha quedado en estado de ser resuelta.</w:t>
      </w:r>
    </w:p>
    <w:p>
      <w:pPr>
        <w:pStyle w:val="[Normal]"/>
        <w:spacing w:line="360" w:lineRule="auto"/>
        <w:ind w:firstLine="1134"/>
        <w:jc w:val="both"/>
        <w:rPr>
          <w:lang w:val="es-AR" w:eastAsia="es-AR" w:bidi="es-AR"/>
        </w:rPr>
      </w:pPr>
      <w:r>
        <w:rPr>
          <w:lang w:val="es-AR" w:eastAsia="es-AR" w:bidi="es-AR"/>
        </w:rPr>
        <w:t xml:space="preserve">La ejecutante recurrente en su memorial dirige sus agravios exclusivamente contra el régimen de intereses establecido en la sentencia de remate.</w:t>
      </w:r>
    </w:p>
    <w:p>
      <w:pPr>
        <w:pStyle w:val="[Normal]"/>
        <w:spacing w:line="360" w:lineRule="auto"/>
        <w:ind w:firstLine="1134"/>
        <w:jc w:val="both"/>
        <w:rPr>
          <w:lang w:val="es-AR" w:eastAsia="es-AR" w:bidi="es-AR"/>
        </w:rPr>
      </w:pPr>
      <w:r>
        <w:rPr>
          <w:lang w:val="es-AR" w:eastAsia="es-AR" w:bidi="es-AR"/>
        </w:rPr>
        <w:t xml:space="preserve">En ajustada síntesis sostiene que el pronunciamiento apelado incurre en una omisión relevante al limitarse a disponer en su parte resolutiva la aplicación de “los intereses pactados” sin distinguir entre el período en que la obligación se encontraba expresada en soja y aquel posterior a la pesificación del capital.</w:t>
      </w:r>
    </w:p>
    <w:p>
      <w:pPr>
        <w:pStyle w:val="[Normal]"/>
        <w:spacing w:line="360" w:lineRule="auto"/>
        <w:ind w:firstLine="1134"/>
        <w:jc w:val="both"/>
        <w:rPr>
          <w:lang w:val="es-AR" w:eastAsia="es-AR" w:bidi="es-AR"/>
        </w:rPr>
      </w:pPr>
      <w:r>
        <w:rPr>
          <w:lang w:val="es-AR" w:eastAsia="es-AR" w:bidi="es-AR"/>
        </w:rPr>
        <w:t xml:space="preserve">Explica que la deuda originalmente consistía en una obligación de dar cantidades de cosas fungibles (23.852 kilogramos de soja) y que mientras subsistió dicha modalidad, resultaban aplicables las tasas previstas en la categoría “Convenios con Garantía” del estatuto cooperativo. Sin embargo, afirma que una vez convertida la deuda a pesos nominales, correspondía aplicar las tasas previstas para la categoría “Cuenta Corriente”, pues las primeras únicamente resultarían compatibles con obligaciones cuyo capital se preserva mediante la evolución del valor del grano.</w:t>
      </w:r>
    </w:p>
    <w:p>
      <w:pPr>
        <w:pStyle w:val="[Normal]"/>
        <w:spacing w:line="360" w:lineRule="auto"/>
        <w:ind w:firstLine="1134"/>
        <w:jc w:val="both"/>
        <w:rPr>
          <w:lang w:val="es-AR" w:eastAsia="es-AR" w:bidi="es-AR"/>
        </w:rPr>
      </w:pPr>
      <w:r>
        <w:rPr>
          <w:lang w:val="es-AR" w:eastAsia="es-AR" w:bidi="es-AR"/>
        </w:rPr>
        <w:t xml:space="preserve">Detalla que la tasa de interés que peticiona es una tasa variable según el periodo (oscilan entre el 48% y el 114% anual) conforme información proveniente de la certificación contable adjuntada oportunamente.</w:t>
      </w:r>
    </w:p>
    <w:p>
      <w:pPr>
        <w:pStyle w:val="[Normal]"/>
        <w:spacing w:line="360" w:lineRule="auto"/>
        <w:ind w:firstLine="1134"/>
        <w:jc w:val="both"/>
        <w:rPr>
          <w:lang w:val="es-AR" w:eastAsia="es-AR" w:bidi="es-AR"/>
        </w:rPr>
      </w:pPr>
      <w:r>
        <w:rPr>
          <w:lang w:val="es-AR" w:eastAsia="es-AR" w:bidi="es-AR"/>
        </w:rPr>
        <w:t xml:space="preserve">Añade que la sentencia carece de autosuficiencia en tanto no precisa cuál de las categorías de tasas previstas contractualmente resulta aplicable luego de la pesificación, trasladando indebidamente al incidente de liquidación una cuestión que debió quedar resuelta en la sentencia de trance y remate.</w:t>
      </w:r>
    </w:p>
    <w:p>
      <w:pPr>
        <w:pStyle w:val="[Normal]"/>
        <w:spacing w:line="360" w:lineRule="auto"/>
        <w:ind w:firstLine="1134"/>
        <w:jc w:val="both"/>
        <w:rPr>
          <w:lang w:val="es-AR" w:eastAsia="es-AR" w:bidi="es-AR"/>
        </w:rPr>
      </w:pPr>
      <w:r>
        <w:rPr>
          <w:lang w:val="es-AR" w:eastAsia="es-AR" w:bidi="es-AR"/>
        </w:rPr>
        <w:t xml:space="preserve">Solicita se revoque parcialmente la sentencia en crisis, y se disponga que sobre el capital pesificado se apliquen las tasa de la categoría "cuenta corriente" y como alternativa plantea se implemente la tasa activa del Banco Central de la República Argentina para descubiertos en cuenta corriente.</w:t>
      </w:r>
    </w:p>
    <w:p>
      <w:pPr>
        <w:pStyle w:val="[Normal]"/>
        <w:spacing w:line="360" w:lineRule="auto"/>
        <w:ind w:firstLine="1134"/>
        <w:jc w:val="both"/>
        <w:rPr>
          <w:lang w:val="es-AR" w:eastAsia="es-AR" w:bidi="es-AR"/>
        </w:rPr>
      </w:pPr>
      <w:r>
        <w:rPr>
          <w:lang w:val="es-AR" w:eastAsia="es-AR" w:bidi="es-AR"/>
        </w:rPr>
        <w:t xml:space="preserve">A su turno las partes ejecutadas solicitan el rechazo del recurso. Sostiene que la pesificación del capital no alteró la naturaleza de la obligación ni produjo una modificación del régimen de intereses convenido por las partes. Agrega que las tasas correspondientes a “Cuenta Corriente” responden a una operatoria diversa a la aquí ejecutada y que el fallo apelado contiene pautas suficientes para practicar la liquidación pertinente.</w:t>
      </w:r>
    </w:p>
    <w:p>
      <w:pPr>
        <w:pStyle w:val="[Normal]"/>
        <w:spacing w:line="360" w:lineRule="auto"/>
        <w:ind w:firstLine="1134"/>
        <w:jc w:val="both"/>
        <w:rPr>
          <w:lang w:val="es-AR" w:eastAsia="es-AR" w:bidi="es-AR"/>
        </w:rPr>
      </w:pPr>
      <w:r>
        <w:rPr>
          <w:lang w:val="es-AR" w:eastAsia="es-AR" w:bidi="es-AR"/>
        </w:rPr>
        <w:t xml:space="preserve">Liminarmente hemos de reseñar que cuando existe acuerdo de partes con relación al cómputo de intereses, cabe aplicar éste (arts. 958, 1003, 1004 y ccs. del CCyC) (conf. CAP causa N° 2921 del 31-8-2017 Reg. N° 11/2017).</w:t>
      </w:r>
    </w:p>
    <w:p>
      <w:pPr>
        <w:pStyle w:val="[Normal]"/>
        <w:spacing w:line="360" w:lineRule="auto"/>
        <w:ind w:firstLine="1134"/>
        <w:jc w:val="both"/>
        <w:rPr>
          <w:lang w:val="es-AR" w:eastAsia="es-AR" w:bidi="es-AR"/>
        </w:rPr>
      </w:pPr>
      <w:r>
        <w:rPr>
          <w:lang w:val="es-AR" w:eastAsia="es-AR" w:bidi="es-AR"/>
        </w:rPr>
        <w:t xml:space="preserve">Sin perjuicio de lo anterior, el Código Civil y Comercial de la Nación atribuye a los jueces la facultad de morigerar los intereses cuando la tasa fijada pueda importar una carga desmedida para el deudor, o exceda sin justificación y desproporcionadamente, el costo medio del dinero para deudores y operaciones similares en el lugar donde se contrajo la obligación (art. 771 CCyC). </w:t>
      </w:r>
    </w:p>
    <w:p>
      <w:pPr>
        <w:pStyle w:val="[Normal]"/>
        <w:spacing w:line="360" w:lineRule="auto"/>
        <w:ind w:firstLine="1134"/>
        <w:jc w:val="both"/>
        <w:rPr>
          <w:lang w:val="es-AR" w:eastAsia="es-AR" w:bidi="es-AR"/>
        </w:rPr>
      </w:pPr>
      <w:r>
        <w:rPr>
          <w:lang w:val="es-AR" w:eastAsia="es-AR" w:bidi="es-AR"/>
        </w:rPr>
        <w:t xml:space="preserve">En ese contexto, si para el cómputo de intereses existe acuerdo de partes, corresponde aplicar lo pactado. No obstante, el órgano jurisdiccional conserva la facultad de revisar y eventualmente reducir las tasas convenidas cuando éstas desnaturalicen su función económica y alteren de modo irrazonable el equilibrio de las prestaciones (arts. 9, 10, 11, 12, 240, 279, 794, 958, 1003 y ccss del CCyC; conf. CC0201 LP 117620 RSD 184/15 S 12/11/2015, JUBA B257982).</w:t>
      </w:r>
    </w:p>
    <w:p>
      <w:pPr>
        <w:pStyle w:val="[Normal]"/>
        <w:spacing w:line="360" w:lineRule="auto"/>
        <w:ind w:firstLine="1134"/>
        <w:jc w:val="both"/>
        <w:rPr>
          <w:lang w:val="es-AR" w:eastAsia="es-AR" w:bidi="es-AR"/>
        </w:rPr>
      </w:pPr>
      <w:r>
        <w:rPr>
          <w:lang w:val="es-AR" w:eastAsia="es-AR" w:bidi="es-AR"/>
        </w:rPr>
        <w:t xml:space="preserve">Sentado ello, cabe advertir que el magistrado de grado no efectuó una definición específica respecto de la concreta categoría de tasas cuya aplicación pretende la apelante, ni resolvió anticipadamente la controversia relativa al modo en que deberán calcularse los intereses correspondientes a la porción del crédito originalmente expresada en soja. Por el contrario, dispuso que la ejecución prosiguiera por los intereses convenidos y difirió expresamente para la etapa liquidatoria el examen de las cuestiones vinculadas con su concreta determinación, razonabilidad y eventual adecuación a los parámetros previstos por el ordenamiento jurídico.</w:t>
      </w:r>
    </w:p>
    <w:p>
      <w:pPr>
        <w:pStyle w:val="[Normal]"/>
        <w:spacing w:line="360" w:lineRule="auto"/>
        <w:ind w:firstLine="1134"/>
        <w:jc w:val="both"/>
        <w:rPr>
          <w:lang w:val="es-AR" w:eastAsia="es-AR" w:bidi="es-AR"/>
        </w:rPr>
      </w:pPr>
      <w:r>
        <w:rPr>
          <w:lang w:val="es-AR" w:eastAsia="es-AR" w:bidi="es-AR"/>
        </w:rPr>
        <w:t xml:space="preserve">En tales condiciones, la apelante no controvierte una decisión efectivamente adoptada por el magistrado, sino la ausencia de un pronunciamiento anticipado sobre una cuestión cuya resolución ha sido expresamente reservada para la oportunidad de practicarse la liquidación. Ello es así, pues la identificación de las pautas convencionales aplicables, el modo de cálculo de los accesorios y la incidencia que pudiera tener la conversión a moneda de curso legal de la porción del crédito originalmente expresada en soja constituyen aspectos que necesariamente deberán ser precisados en aquella etapa procesal.</w:t>
      </w:r>
    </w:p>
    <w:p>
      <w:pPr>
        <w:pStyle w:val="[Normal]"/>
        <w:spacing w:line="360" w:lineRule="auto"/>
        <w:ind w:firstLine="1134"/>
        <w:jc w:val="both"/>
        <w:rPr>
          <w:lang w:val="es-AR" w:eastAsia="es-AR" w:bidi="es-AR"/>
        </w:rPr>
      </w:pPr>
      <w:r>
        <w:rPr>
          <w:lang w:val="es-AR" w:eastAsia="es-AR" w:bidi="es-AR"/>
        </w:rPr>
        <w:t xml:space="preserve">Será entonces cuando las partes podrán formular las observaciones que estimen pertinentes y el órgano jurisdiccional verificar si el cálculo efectuado se ajusta a las previsiones convencionales que integran el título ejecutivo y si el resultado obtenido justifica, en su caso, el ejercicio de las facultades previstas por los arts. 10, 771, 794 y ccs. del CCyC.</w:t>
      </w:r>
    </w:p>
    <w:p>
      <w:pPr>
        <w:pStyle w:val="[Normal]"/>
        <w:spacing w:line="360" w:lineRule="auto"/>
        <w:ind w:firstLine="1134"/>
        <w:jc w:val="both"/>
        <w:rPr>
          <w:lang w:val="es-AR" w:eastAsia="es-AR" w:bidi="es-AR"/>
        </w:rPr>
      </w:pPr>
      <w:r>
        <w:rPr>
          <w:lang w:val="es-AR" w:eastAsia="es-AR" w:bidi="es-AR"/>
        </w:rPr>
        <w:t xml:space="preserve">Por consiguiente, no se advierte en el actual estado del proceso la existencia de un gravamen concreto y actual que justifique la modificación del pronunciamiento apelado, desde que la cuestión introducida por la recurrente no ha sido objeto de decisión por parte del juez de grado y deberá ser examinada al tiempo de practicarse la liquidación correspondiente.</w:t>
      </w:r>
    </w:p>
    <w:p>
      <w:pPr>
        <w:pStyle w:val="[Normal]"/>
        <w:spacing w:line="360" w:lineRule="auto"/>
        <w:ind w:firstLine="1134"/>
        <w:jc w:val="both"/>
        <w:rPr>
          <w:lang w:val="es-AR" w:eastAsia="es-AR" w:bidi="es-AR"/>
        </w:rPr>
      </w:pPr>
      <w:r>
        <w:rPr>
          <w:lang w:val="es-AR" w:eastAsia="es-AR" w:bidi="es-AR"/>
        </w:rPr>
        <w:t xml:space="preserve">Por último, tampoco resulta atendible el agravio vinculado con la alegada falta de autosuficiencia de la sentencia. </w:t>
      </w:r>
    </w:p>
    <w:p>
      <w:pPr>
        <w:pStyle w:val="[Normal]"/>
        <w:spacing w:line="360" w:lineRule="auto"/>
        <w:ind w:firstLine="1134"/>
        <w:jc w:val="both"/>
        <w:rPr>
          <w:i/>
          <w:lang w:val="es-AR" w:eastAsia="es-AR" w:bidi="es-AR"/>
        </w:rPr>
      </w:pPr>
      <w:r>
        <w:rPr>
          <w:lang w:val="es-AR" w:eastAsia="es-AR" w:bidi="es-AR"/>
        </w:rPr>
        <w:t xml:space="preserve">Al respecto, en los autos "Rolfo Nora Stella c/Faccini, Sergio Antonio y otros s/Ejecucion Hipotecaria" tuve la oportunidad de pronunciarme al respecto, expresando  que "</w:t>
      </w:r>
      <w:r>
        <w:rPr>
          <w:i/>
          <w:lang w:val="es-AR" w:eastAsia="es-AR" w:bidi="es-AR"/>
        </w:rPr>
        <w:t xml:space="preserve">se ha dicho que ello no importa vulnerar la cualidad de cosa juzgada de la sentencia judicial, habida cuenta de que la revisión ulterior del monto de los intereses bien puede estar prevista en la propia resolución de condena. No media en estos supuestos una afectación del derecho constitucional de propiedad, sino más bien una modalización temporal de la sentencia judicial que contempla en su propio espectro virtual la posibilidad de controlar la abusividad de los intereses en la etapa de liquidación que es, en definitiva, el momento procesal en el que se puede establecer con precisión la cuantía exacta de los intereses devengados (conf. causa N° 3885 "CREDINEGOCIOS MOSCASIL S.A.  C/ Méndez Ariel Esteban y otro s/ cobro ejecutivo")"</w:t>
      </w:r>
    </w:p>
    <w:p>
      <w:pPr>
        <w:pStyle w:val="[Normal]"/>
        <w:spacing w:line="360" w:lineRule="auto"/>
        <w:ind w:firstLine="1134"/>
        <w:jc w:val="both"/>
        <w:rPr>
          <w:i/>
          <w:lang w:val="es-AR" w:eastAsia="es-AR" w:bidi="es-AR"/>
        </w:rPr>
      </w:pPr>
      <w:r>
        <w:rPr>
          <w:lang w:val="es-AR" w:eastAsia="es-AR" w:bidi="es-AR"/>
        </w:rPr>
        <w:t xml:space="preserve">Asimismo señalé que</w:t>
      </w:r>
      <w:r>
        <w:rPr>
          <w:i/>
          <w:lang w:val="es-AR" w:eastAsia="es-AR" w:bidi="es-AR"/>
        </w:rPr>
        <w:t xml:space="preserve"> "...el carácter completo de la sentencia de condena no implica necesariamente que ésta habrá de precisar la suma nominal debida en forma definitiva, sino tan sólo que debe prever las bases jurídicas para determinar lo realmente adeudado. Por lo que, como dije, nada empece a que la resolución aludida difiera el control de abusividad de los intereses para el momento de la liquidación (oportunidad en la que el juez podrá determinar los intereses devengados con anterioridad y posterioridad a la sentencia judicial, descontar los pagos parciales en caso de que los hubiera conforme a las reglas legales de imputación y, en definitiva, formarse una representación clara del monto final adeudado)".</w:t>
      </w:r>
    </w:p>
    <w:p>
      <w:pPr>
        <w:pStyle w:val="[Normal]"/>
        <w:spacing w:line="360" w:lineRule="auto"/>
        <w:ind w:firstLine="1134"/>
        <w:jc w:val="both"/>
        <w:rPr>
          <w:lang w:val="es-AR" w:eastAsia="es-AR" w:bidi="es-AR"/>
        </w:rPr>
      </w:pPr>
      <w:r>
        <w:rPr>
          <w:lang w:val="es-AR" w:eastAsia="es-AR" w:bidi="es-AR"/>
        </w:rPr>
        <w:t xml:space="preserve">Y concluí que </w:t>
      </w:r>
      <w:r>
        <w:rPr>
          <w:i/>
          <w:lang w:val="es-AR" w:eastAsia="es-AR" w:bidi="es-AR"/>
        </w:rPr>
        <w:t xml:space="preserve">"...a los fines de asegurar la inmutabilidad de la cosa juzgada (que en esta materia, cabe agregar, es relativa y no absoluta por tratarse de una cosa juzgada de tipo formal), lo esencial es que las operaciones determinativas posteriores al dictado de la sentencia no aparezcan como maniobras ajenas al decisorio, sino como la plasmación efectiva de criterios determinativos allí contemplados (art. 165 y 549 del CPCCBA), aún cuando tal aplicación sea diferida y no obstante que su realización implique algún grado de valoración jurídica y no meramente matemática</w:t>
      </w:r>
      <w:r>
        <w:rPr>
          <w:lang w:val="es-AR" w:eastAsia="es-AR" w:bidi="es-AR"/>
        </w:rPr>
        <w:t xml:space="preserve">". (CAP 5182/2023,  RS-47-2024 del 9-4-2023).</w:t>
      </w:r>
    </w:p>
    <w:p>
      <w:pPr>
        <w:pStyle w:val="[Normal]"/>
        <w:spacing w:line="360" w:lineRule="auto"/>
        <w:ind w:firstLine="1134"/>
        <w:jc w:val="both"/>
        <w:rPr>
          <w:lang w:val="es-AR" w:eastAsia="es-AR" w:bidi="es-AR"/>
        </w:rPr>
      </w:pPr>
      <w:r>
        <w:rPr>
          <w:lang w:val="es-AR" w:eastAsia="es-AR" w:bidi="es-AR"/>
        </w:rPr>
        <w:t xml:space="preserve">Como se desprende de lo expuesto, en el caso el magistrado de la instancia anterior estableció que la ejecución prosiga por los intereses convenidos y difirió expresamente para la etapa liquidatoria el examen de las cuestiones vinculadas con su concreta determinación, razonabilidad y eventual adecuación a los parámetros previstos por el ordenamiento jurídico. Tal proceder no configura una omisión decisoria ni afecta la cualidad de cosa juzgada de la sentencia, sino que responde a la naturaleza misma de cuestiones que sólo pueden ser apreciadas sobre la base de una liquidación concreta.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la sentencia apelada en todo cuanto ha sido materia de agravios.</w:t>
      </w:r>
    </w:p>
    <w:p>
      <w:pPr>
        <w:pStyle w:val="[Normal]"/>
        <w:spacing w:line="360" w:lineRule="auto"/>
        <w:ind w:firstLine="1134"/>
        <w:jc w:val="both"/>
        <w:rPr>
          <w:color w:val="000000"/>
          <w:lang w:val="es-AR" w:eastAsia="es-AR" w:bidi="es-AR"/>
        </w:rPr>
      </w:pPr>
      <w:r>
        <w:rPr>
          <w:color w:val="000000"/>
          <w:lang w:val="es-AR" w:eastAsia="es-AR" w:bidi="es-AR"/>
        </w:rPr>
        <w:t xml:space="preserve">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color w:val="000000"/>
          <w:lang w:val="es-AR" w:eastAsia="es-AR" w:bidi="es-AR"/>
        </w:rPr>
      </w:pPr>
      <w:r>
        <w:rPr>
          <w:color w:val="000000"/>
          <w:lang w:val="es-AR" w:eastAsia="es-AR" w:bidi="es-AR"/>
        </w:rPr>
        <w:t xml:space="preserve">Rechazar el recurso de apelación deducido y en consecuencia confirmar la sentencia apelada en todo cuanto ha sido materia de agravios.</w:t>
      </w:r>
    </w:p>
    <w:p>
      <w:pPr>
        <w:pStyle w:val="[Normal]"/>
        <w:spacing w:line="360" w:lineRule="auto"/>
        <w:ind w:firstLine="1134"/>
        <w:jc w:val="both"/>
        <w:rPr>
          <w:color w:val="000000"/>
          <w:lang w:val="es-AR" w:eastAsia="es-AR" w:bidi="es-AR"/>
        </w:rPr>
      </w:pPr>
      <w:r>
        <w:rPr>
          <w:color w:val="000000"/>
          <w:lang w:val="es-AR" w:eastAsia="es-AR" w:bidi="es-AR"/>
        </w:rPr>
        <w:t xml:space="preserve">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Diferir la regulación de honorarios para su oportunidad respectiva (art. 31 de la ley 14.697).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10:14:37 -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10:29:25 -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11/06/2026 11:15:33 -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‰7v")è&amp;|W8&gt;Š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238602090006925524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11/06/2026 11:15:44 hs. bajo el número RS-97-2026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