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6030-26</w:t>
      </w:r>
      <w:r>
        <w:rPr>
          <w:lang w:val="es-AR" w:eastAsia="es-AR" w:bidi="es-AR"/>
        </w:rPr>
        <w:t xml:space="preserve"> caratulada </w:t>
      </w:r>
      <w:r>
        <w:rPr>
          <w:b/>
          <w:lang w:val="es-AR" w:eastAsia="es-AR" w:bidi="es-AR"/>
        </w:rPr>
        <w:t xml:space="preserve">"</w:t>
      </w:r>
      <w:r>
        <w:rPr>
          <w:b/>
          <w:color w:val="000000"/>
          <w:lang w:val="es-AR" w:eastAsia="es-AR" w:bidi="es-AR"/>
        </w:rPr>
        <w:t xml:space="preserve">FCA COMPAÑIA FINANCIERA SA  C/ GIACHINO LORENA ELIZABETH Y OTROS S/ EJECUCION PRENDARIA</w:t>
      </w:r>
      <w:r>
        <w:rPr>
          <w:b/>
          <w:lang w:val="es-AR" w:eastAsia="es-AR" w:bidi="es-AR"/>
        </w:rPr>
        <w:t xml:space="preserve">"</w:t>
      </w:r>
      <w:r>
        <w:rPr>
          <w:lang w:val="es-AR" w:eastAsia="es-AR" w:bidi="es-AR"/>
        </w:rPr>
        <w:t xml:space="preserve">, Expte. N° 79.089 del Juzgado en lo Civil y Comercial N° 1, se practicó el sorteo de ley que determinó que la votación debía efectuarse en el siguiente orden: Graciela Scaraffía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Scaraffía dijo:</w:t>
      </w:r>
    </w:p>
    <w:p>
      <w:pPr>
        <w:pStyle w:val="[Normal]"/>
        <w:spacing w:line="360" w:lineRule="auto"/>
        <w:ind w:firstLine="1134"/>
        <w:jc w:val="both"/>
        <w:rPr>
          <w:lang w:val="es-AR" w:eastAsia="es-AR" w:bidi="es-AR"/>
        </w:rPr>
      </w:pPr>
      <w:r>
        <w:rPr>
          <w:lang w:val="es-AR" w:eastAsia="es-AR" w:bidi="es-AR"/>
        </w:rPr>
        <w:t xml:space="preserve">El Juez de la anterior instancia falló en esta causa de trance y remate rechazando la excepción de falta de legitimación pasiva y en consecuencia mandó llevar adelante la ejecución hasta tanto los ejecutados Lorena Elizabeth Giachino, Rubén Darío Adrover y María Cecilia Barrio, hagan al acreedor FCA Compañía Financiera S. A., íntegro pago del capital reclamado de catorce millones novecientos veinticuatro mil doscientos noventa y ocho pesos con 94/100 ($ 14.924.298,94). Aplicó las costas del presente a la parte ejecutada que resulta vencida y difirió la regulación de los honorarios de los profesionales intervinientes hasta el momento en que haya  determinación firme de la base para ello.</w:t>
      </w:r>
    </w:p>
    <w:p>
      <w:pPr>
        <w:pStyle w:val="[Normal]"/>
        <w:spacing w:line="360" w:lineRule="auto"/>
        <w:ind w:firstLine="1134"/>
        <w:jc w:val="both"/>
        <w:rPr>
          <w:lang w:val="es-AR" w:eastAsia="es-AR" w:bidi="es-AR"/>
        </w:rPr>
      </w:pPr>
      <w:r>
        <w:rPr>
          <w:lang w:val="es-AR" w:eastAsia="es-AR" w:bidi="es-AR"/>
        </w:rPr>
        <w:t xml:space="preserve">En fecha 10-12-2024 interpuso recurso de apelación la codemandada María Cecilia Barrio, que fundó mediante el escrito de fecha 20-12-2024.</w:t>
      </w:r>
    </w:p>
    <w:p>
      <w:pPr>
        <w:pStyle w:val="[Normal]"/>
        <w:spacing w:line="360" w:lineRule="auto"/>
        <w:ind w:firstLine="1134"/>
        <w:jc w:val="both"/>
        <w:rPr>
          <w:lang w:val="es-AR" w:eastAsia="es-AR" w:bidi="es-AR"/>
        </w:rPr>
      </w:pPr>
      <w:r>
        <w:rPr>
          <w:lang w:val="es-AR" w:eastAsia="es-AR" w:bidi="es-AR"/>
        </w:rPr>
        <w:t xml:space="preserve">Conferido el traslado pertinente, fue evacuado por la contraria en la presentación de fecha 3 de febrero de 2025.</w:t>
      </w:r>
    </w:p>
    <w:p>
      <w:pPr>
        <w:pStyle w:val="[Normal]"/>
        <w:spacing w:line="360" w:lineRule="auto"/>
        <w:ind w:firstLine="1134"/>
        <w:jc w:val="both"/>
        <w:rPr>
          <w:lang w:val="es-AR" w:eastAsia="es-AR" w:bidi="es-AR"/>
        </w:rPr>
      </w:pPr>
      <w:r>
        <w:rPr>
          <w:lang w:val="es-AR" w:eastAsia="es-AR" w:bidi="es-AR"/>
        </w:rPr>
        <w:t xml:space="preserve">En fecha 7 de abril de 2026 se dictó el llamamiento de autos, el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La codemandada María Cecilia Barrio se agravia del rechazo a su planteo relativo a la improcedencia de intimarla de pago y trabar embargo sobre sus bienes con anterioridad a la realización del bien prendado atento su carácter de fiadora.</w:t>
      </w:r>
    </w:p>
    <w:p>
      <w:pPr>
        <w:pStyle w:val="[Normal]"/>
        <w:spacing w:line="360" w:lineRule="auto"/>
        <w:ind w:firstLine="1134"/>
        <w:jc w:val="both"/>
        <w:rPr>
          <w:lang w:val="es-AR" w:eastAsia="es-AR" w:bidi="es-AR"/>
        </w:rPr>
      </w:pPr>
      <w:r>
        <w:rPr>
          <w:lang w:val="es-AR" w:eastAsia="es-AR" w:bidi="es-AR"/>
        </w:rPr>
        <w:t xml:space="preserve">Sostiene que conforme el art. 37 del decreto ley 15.348/46 ratificado por ley 12.962 el acreedor prendario debe previamente proceder al secuestro y subasta del bien afectado en garantía y sólo en caso de existir saldo insoluto o imposibilidad de secuestro podría perseguir otros bienes del deudor o de los garantes. Afirma que ello también resulta aplicable al codeudor solidario renunciante a los beneficios de división y excusión, ya que no puede colocárselo en peor situación que al deudor principal.</w:t>
      </w:r>
    </w:p>
    <w:p>
      <w:pPr>
        <w:pStyle w:val="[Normal]"/>
        <w:spacing w:line="360" w:lineRule="auto"/>
        <w:ind w:firstLine="1134"/>
        <w:jc w:val="both"/>
        <w:rPr>
          <w:lang w:val="es-AR" w:eastAsia="es-AR" w:bidi="es-AR"/>
        </w:rPr>
      </w:pPr>
      <w:r>
        <w:rPr>
          <w:lang w:val="es-AR" w:eastAsia="es-AR" w:bidi="es-AR"/>
        </w:rPr>
        <w:t xml:space="preserve">Por otro lado remarca que del contrato de prenda con registro celebrado entre la actora y la deudora Lorena E. Giachino surge de su cláusula 12 que únicamente en caso de fracaso del secuestro del bien o insuficiencia del producido de la subasta el acreedor podrá solicitar medidas cautelares respecto de bienes del deudor o de los garantes. </w:t>
      </w:r>
    </w:p>
    <w:p>
      <w:pPr>
        <w:pStyle w:val="[Normal]"/>
        <w:spacing w:line="360" w:lineRule="auto"/>
        <w:ind w:firstLine="1134"/>
        <w:jc w:val="both"/>
        <w:rPr>
          <w:lang w:val="es-AR" w:eastAsia="es-AR" w:bidi="es-AR"/>
        </w:rPr>
      </w:pPr>
      <w:r>
        <w:rPr>
          <w:lang w:val="es-AR" w:eastAsia="es-AR" w:bidi="es-AR"/>
        </w:rPr>
        <w:t xml:space="preserve">Agrega que ir directamente contra los fiadores configura un abuso de derecho y destaca haber aportado datos precisos sobre la ubicación del automotor prendado para facilitar su secuestro. </w:t>
      </w:r>
    </w:p>
    <w:p>
      <w:pPr>
        <w:pStyle w:val="[Normal]"/>
        <w:spacing w:line="360" w:lineRule="auto"/>
        <w:ind w:firstLine="1134"/>
        <w:jc w:val="both"/>
        <w:rPr>
          <w:lang w:val="es-AR" w:eastAsia="es-AR" w:bidi="es-AR"/>
        </w:rPr>
      </w:pPr>
      <w:r>
        <w:rPr>
          <w:lang w:val="es-AR" w:eastAsia="es-AR" w:bidi="es-AR"/>
        </w:rPr>
        <w:t xml:space="preserve">Solicita la revocación de la resolución apelada con costas.</w:t>
      </w:r>
    </w:p>
    <w:p>
      <w:pPr>
        <w:pStyle w:val="[Normal]"/>
        <w:spacing w:line="360" w:lineRule="auto"/>
        <w:ind w:firstLine="1134"/>
        <w:jc w:val="both"/>
        <w:rPr>
          <w:lang w:val="es-AR" w:eastAsia="es-AR" w:bidi="es-AR"/>
        </w:rPr>
      </w:pPr>
      <w:r>
        <w:rPr>
          <w:lang w:val="es-AR" w:eastAsia="es-AR" w:bidi="es-AR"/>
        </w:rPr>
        <w:t xml:space="preserve">Al contestar el traslado conferido la parte actora rebate los argumentos expuestos por la apelante, señala que la recurrente se ha constituido en</w:t>
      </w:r>
      <w:r>
        <w:rPr>
          <w:rStyle w:val="U"/>
          <w:u w:val="none"/>
          <w:lang w:val="es-AR" w:eastAsia="es-AR" w:bidi="es-AR"/>
        </w:rPr>
        <w:t xml:space="preserve"> garante, deudora, solidaria y principal pagadora de todas las obligaciones asumidas por el deudor en el presente contrato prendario, renunciando expresamente a los beneficios de división y excusión. </w:t>
      </w:r>
      <w:r>
        <w:rPr>
          <w:lang w:val="es-AR" w:eastAsia="es-AR" w:bidi="es-AR"/>
        </w:rPr>
        <w:t xml:space="preserve">Solicita el rechazo del recurso impetrado, con costas.</w:t>
      </w:r>
    </w:p>
    <w:p>
      <w:pPr>
        <w:pStyle w:val="[Normal]"/>
        <w:spacing w:line="360" w:lineRule="auto"/>
        <w:ind w:firstLine="1134"/>
        <w:jc w:val="both"/>
        <w:rPr>
          <w:lang w:val="es-AR" w:eastAsia="es-AR" w:bidi="es-AR"/>
        </w:rPr>
      </w:pPr>
      <w:r>
        <w:rPr>
          <w:lang w:val="es-AR" w:eastAsia="es-AR" w:bidi="es-AR"/>
        </w:rPr>
        <w:t xml:space="preserve">Ya en tarea de resolver considero relevante realizar un análisis distintivo de los institutos jurídicos que califican e integran el vinculo contractual de autos.</w:t>
      </w:r>
    </w:p>
    <w:p>
      <w:pPr>
        <w:pStyle w:val="[Normal]"/>
        <w:spacing w:line="360" w:lineRule="auto"/>
        <w:ind w:firstLine="1134"/>
        <w:jc w:val="both"/>
        <w:rPr>
          <w:lang w:val="es-AR" w:eastAsia="es-AR" w:bidi="es-AR"/>
        </w:rPr>
      </w:pPr>
      <w:r>
        <w:rPr>
          <w:lang w:val="es-AR" w:eastAsia="es-AR" w:bidi="es-AR"/>
        </w:rPr>
        <w:t xml:space="preserve">Cabe destacar que en el contrato de prenda con registro coexisten dos planos obligacionales claramente diferenciados, aunque funcionalmente complementarios. Por un lado la garantía real prendaria constituida sobre el bien registrable afectado al cumplimiento del crédito que otorga al acreedor un privilegio especial de persecución y realización sobre dicho bien. Por el otro la obligación personal asumida por quienes se constituyeron expresamente como garantes, deudores solidarios y principales pagadores.</w:t>
      </w:r>
    </w:p>
    <w:p>
      <w:pPr>
        <w:pStyle w:val="[Normal]"/>
        <w:spacing w:line="360" w:lineRule="auto"/>
        <w:ind w:firstLine="1134"/>
        <w:jc w:val="both"/>
        <w:rPr>
          <w:lang w:val="es-AR" w:eastAsia="es-AR" w:bidi="es-AR"/>
        </w:rPr>
      </w:pPr>
      <w:r>
        <w:rPr>
          <w:lang w:val="es-AR" w:eastAsia="es-AR" w:bidi="es-AR"/>
        </w:rPr>
        <w:t xml:space="preserve">Al respecto destacada doctrina ha dicho que: "</w:t>
      </w:r>
      <w:r>
        <w:rPr>
          <w:i/>
          <w:lang w:val="es-AR" w:eastAsia="es-AR" w:bidi="es-AR"/>
        </w:rPr>
        <w:t xml:space="preserve">La prenda con registro constituida en favor de ciertos acreedores mediante la inscripción registral en garantía de cualquier clase de obligaciones ( art. 1 dec.-ley 15.348/1946, ratificado por ley 12.962) no es susceptible de ser confundida con el crédito en sí del que emana una obligación personal (en el caso, contrato de mutuo). Es decir, se debe distinguir la obligación principal garantizada de la prenda o garantía pignoraticia que es accesoria de aquella porque está sujeta al crédito que la genera (art. 524 CCiv)</w:t>
      </w:r>
      <w:r>
        <w:rPr>
          <w:lang w:val="es-AR" w:eastAsia="es-AR" w:bidi="es-AR"/>
        </w:rPr>
        <w:t xml:space="preserve">". (Luis A. Rodriguez Saiach, Procesos de Ejecución de la Provincia de Buenos Aires. 1era Edición, Ed. Abeledo Perrot, 2008, pagina 923). </w:t>
      </w:r>
    </w:p>
    <w:p>
      <w:pPr>
        <w:pStyle w:val="[Normal]"/>
        <w:spacing w:line="360" w:lineRule="auto"/>
        <w:ind w:firstLine="1134"/>
        <w:jc w:val="both"/>
        <w:rPr>
          <w:lang w:val="es-AR" w:eastAsia="es-AR" w:bidi="es-AR"/>
        </w:rPr>
      </w:pPr>
      <w:r>
        <w:rPr>
          <w:lang w:val="es-AR" w:eastAsia="es-AR" w:bidi="es-AR"/>
        </w:rPr>
        <w:t xml:space="preserve">Sentado ello, corresponde señalar que la relación jurídica que vincula a la Sra. Barrio con la acreedora no puede ser examinada exclusivamente desde las disposiciones especiales del régimen prendario, sino que debe integrarse con las estipulaciones contractuales convenidas y con las normas generales que regulan las obligaciones solidarias en el Código Civil y Comercial de la Nación.</w:t>
      </w:r>
    </w:p>
    <w:p>
      <w:pPr>
        <w:pStyle w:val="[Normal]"/>
        <w:spacing w:line="360" w:lineRule="auto"/>
        <w:ind w:firstLine="1134"/>
        <w:jc w:val="both"/>
        <w:rPr>
          <w:lang w:val="es-AR" w:eastAsia="es-AR" w:bidi="es-AR"/>
        </w:rPr>
      </w:pPr>
      <w:r>
        <w:rPr>
          <w:lang w:val="es-AR" w:eastAsia="es-AR" w:bidi="es-AR"/>
        </w:rPr>
        <w:t xml:space="preserve">En tal sentido, el artículo 827 del CCCN dispone expresamente que: “</w:t>
      </w:r>
      <w:r>
        <w:rPr>
          <w:i/>
          <w:lang w:val="es-AR" w:eastAsia="es-AR" w:bidi="es-AR"/>
        </w:rPr>
        <w:t xml:space="preserve">Hay solidaridad en las obligaciones con pluralidad de sujetos y originadas en una causa única cuando, en razón del título constitutivo o de la ley, su cumplimiento total puede exigirse a cualquiera de los deudores, por cualquiera de los acreedores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su vez, el artículo 1591 del mismo cuerpo normativo establece: “</w:t>
      </w:r>
      <w:r>
        <w:rPr>
          <w:i/>
          <w:lang w:val="es-AR" w:eastAsia="es-AR" w:bidi="es-AR"/>
        </w:rPr>
        <w:t xml:space="preserve">Quien se obliga como principal pagador, aunque sea con la denominación de fiador, es considerado deudor solidario y su obligación se rige por las disposiciones aplicables a las obligaciones solidarias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 ello se desprende que quien asume dicha calidad jurídica no reviste la posición de un mero garante subsidiario, sino la de un verdadero obligado directo frente al acreedor, cuya responsabilidad resulta exigible por la totalidad de la deuda y sin necesidad de previa excusión de los bienes del deudor principal.</w:t>
      </w:r>
    </w:p>
    <w:p>
      <w:pPr>
        <w:pStyle w:val="[Normal]"/>
        <w:spacing w:line="360" w:lineRule="auto"/>
        <w:ind w:firstLine="1134"/>
        <w:jc w:val="both"/>
        <w:rPr>
          <w:lang w:val="es-AR" w:eastAsia="es-AR" w:bidi="es-AR"/>
        </w:rPr>
      </w:pPr>
      <w:r>
        <w:rPr>
          <w:lang w:val="es-AR" w:eastAsia="es-AR" w:bidi="es-AR"/>
        </w:rPr>
        <w:t xml:space="preserve">En el caso de autos surge de la documental acompañada y reconocida que la Sra. María Cecilia Barrio suscribió el contrato prendario constituyéndose, en su artículo 15, en garante, deudora solidaria y principal pagadora de todas las obligaciones asumidas por la deudora principal, renunciando expresamente a los beneficios de división y excusión. Asimismo, la firma inserta en el instrumento no ha sido desconocida, circunstancia que, conforme lo normado por los arts. 288, 314 y 319 del CCCN, otorga plena operatividad a las obligaciones allí asumidas (ver documental adjunta a la presentación electrónica de fecha 20-3-2024).</w:t>
      </w:r>
    </w:p>
    <w:p>
      <w:pPr>
        <w:pStyle w:val="[Normal]"/>
        <w:spacing w:line="360" w:lineRule="auto"/>
        <w:ind w:firstLine="1134"/>
        <w:jc w:val="both"/>
        <w:rPr>
          <w:lang w:val="es-AR" w:eastAsia="es-AR" w:bidi="es-AR"/>
        </w:rPr>
      </w:pPr>
      <w:r>
        <w:rPr>
          <w:lang w:val="es-AR" w:eastAsia="es-AR" w:bidi="es-AR"/>
        </w:rPr>
        <w:t xml:space="preserve">Desde esa tónica, el planteo de la apelante tiende a desnaturalizar el alcance jurídico de la obligación expresamente asumida procurando reconducir su responsabilidad al régimen propio de la fianza simple y subsidiaria, pese a haber aceptado contractualmente un régimen de solidaridad plena con renuncia expresa a los beneficios de excusión y división.</w:t>
      </w:r>
    </w:p>
    <w:p>
      <w:pPr>
        <w:pStyle w:val="[Normal]"/>
        <w:spacing w:line="360" w:lineRule="auto"/>
        <w:ind w:firstLine="1134"/>
        <w:jc w:val="both"/>
        <w:rPr>
          <w:lang w:val="es-AR" w:eastAsia="es-AR" w:bidi="es-AR"/>
        </w:rPr>
      </w:pPr>
      <w:r>
        <w:rPr>
          <w:lang w:val="es-AR" w:eastAsia="es-AR" w:bidi="es-AR"/>
        </w:rPr>
        <w:t xml:space="preserve">Ahora bien, corresponde reconocer que el agravio introducido por la quejosa no resulta ajeno a la particular estructura del régimen de ejecución prendaria, pues el art. 37 del decreto ley 15.348/46 (ratificado por ley 12.962) contempla específicamente la posibilidad de perseguir el saldo insoluto una vez realizada la subasta del bien prendado. Sin embargo considero que la interpretación que la apelante pretende asignar a dicha disposición no puede tener favorable acogida. Ya que dicha norma refiere a una instancia procesal posterior, no pudiendo pretender que en este estadio procesal la parte actora se vea impedida de promover e impulsar la acción ejecutiva contra quienes asumieron convencionalmente la calidad de codeudores solidarios y principales pagadores.</w:t>
      </w:r>
    </w:p>
    <w:p>
      <w:pPr>
        <w:pStyle w:val="[Normal]"/>
        <w:spacing w:line="360" w:lineRule="auto"/>
        <w:ind w:firstLine="1134"/>
        <w:jc w:val="both"/>
        <w:rPr>
          <w:lang w:val="es-AR" w:eastAsia="es-AR" w:bidi="es-AR"/>
        </w:rPr>
      </w:pPr>
      <w:r>
        <w:rPr>
          <w:lang w:val="es-AR" w:eastAsia="es-AR" w:bidi="es-AR"/>
        </w:rPr>
        <w:t xml:space="preserve">La disposición legal invocada no instituye un beneficio de excusión legal en favor del codeudor solidario ni convierte su obligación en subsidiaria, sino que se limita a disciplinar el modo de prosecución de la ejecución respecto del eventual saldo insoluto derivado de la realización de la garantía real.</w:t>
      </w:r>
    </w:p>
    <w:p>
      <w:pPr>
        <w:pStyle w:val="[Normal]"/>
        <w:spacing w:line="360" w:lineRule="auto"/>
        <w:ind w:firstLine="1134"/>
        <w:jc w:val="both"/>
        <w:rPr>
          <w:lang w:val="es-AR" w:eastAsia="es-AR" w:bidi="es-AR"/>
        </w:rPr>
      </w:pPr>
      <w:r>
        <w:rPr>
          <w:lang w:val="es-AR" w:eastAsia="es-AR" w:bidi="es-AR"/>
        </w:rPr>
        <w:t xml:space="preserve">Bajo tales parámetros, el régimen especial de la prenda con registro no desplaza ni neutraliza las acciones personales derivadas del vínculo obligacional asumido por los codeudores solidarios, sino que coexiste con ellas.</w:t>
      </w:r>
    </w:p>
    <w:p>
      <w:pPr>
        <w:pStyle w:val="[Normal]"/>
        <w:spacing w:line="360" w:lineRule="auto"/>
        <w:ind w:firstLine="1134"/>
        <w:jc w:val="both"/>
        <w:rPr>
          <w:lang w:val="es-AR" w:eastAsia="es-AR" w:bidi="es-AR"/>
        </w:rPr>
      </w:pPr>
      <w:r>
        <w:rPr>
          <w:lang w:val="es-AR" w:eastAsia="es-AR" w:bidi="es-AR"/>
        </w:rPr>
        <w:t xml:space="preserve">Por otro lado, tampoco modifica la solución propiciada la interpretación que la apelante efectúa de la cláusula 12 del contrato prendario. En efecto, dicha estipulación se limita a regular el supuesto habilitante para la traba de medidas cautelares sobre bienes distintos del objeto prendado frente al fracaso del secuestro o insuficiencia del producido de la subasta, más no condiciona la legitimación sustancial del acreedor para dirigir desde el inicio la acción ejecutiva contra quienes asumieron la calidad de garantes, deudores solidarios y principales pagadores. En consecuencia, la previsión contractual invocada no altera la exigibilidad inmediata de las obligaciones personales asumidas por la recurrente.</w:t>
      </w:r>
    </w:p>
    <w:p>
      <w:pPr>
        <w:pStyle w:val="[Normal]"/>
        <w:spacing w:line="360" w:lineRule="auto"/>
        <w:ind w:firstLine="1134"/>
        <w:jc w:val="both"/>
        <w:rPr>
          <w:lang w:val="es-AR" w:eastAsia="es-AR" w:bidi="es-AR"/>
        </w:rPr>
      </w:pPr>
      <w:r>
        <w:rPr>
          <w:lang w:val="es-AR" w:eastAsia="es-AR" w:bidi="es-AR"/>
        </w:rPr>
        <w:t xml:space="preserve">Finalmente, tampoco se advierte la configuración del alegado abuso de derecho invocado por la recurrente. El acreedor se ha limitado a ejercer las facultades emergentes del contrato válidamente celebrado y del régimen legal aplicable a las obligaciones solidarias, sin verificarse un ejercicio antifuncional, irrazonable o desviado de los derechos reconocidos por el ordenamiento jurídico (art. 10 CCCN).</w:t>
      </w:r>
    </w:p>
    <w:p>
      <w:pPr>
        <w:pStyle w:val="[Normal]"/>
        <w:spacing w:line="360" w:lineRule="auto"/>
        <w:ind w:firstLine="1134"/>
        <w:jc w:val="both"/>
        <w:rPr>
          <w:lang w:val="es-AR" w:eastAsia="es-AR" w:bidi="es-AR"/>
        </w:rPr>
      </w:pPr>
      <w:r>
        <w:rPr>
          <w:lang w:val="es-AR" w:eastAsia="es-AR" w:bidi="es-AR"/>
        </w:rPr>
        <w:t xml:space="preserve">En consecuencia, habiendo la recurrente asumido válidamente el carácter de garante, deudora solidaria y principal pagadora de las obligaciones emergentes del contrato base de la ejecución, corresponde concluir que la parte ejecutante se encuentra plenamente facultada para dirigir también contra la quejosa la presente acción ejecutiva y obtener el dictado de la sentencia de trance y remate cuestionada.</w:t>
      </w:r>
    </w:p>
    <w:p>
      <w:pPr>
        <w:pStyle w:val="[Normal]"/>
        <w:spacing w:line="360" w:lineRule="auto"/>
        <w:ind w:firstLine="1134"/>
        <w:jc w:val="both"/>
        <w:rPr>
          <w:lang w:val="es-AR" w:eastAsia="es-AR" w:bidi="es-AR"/>
        </w:rPr>
      </w:pPr>
      <w:r>
        <w:rPr>
          <w:lang w:val="es-AR" w:eastAsia="es-AR" w:bidi="es-AR"/>
        </w:rPr>
        <w:t xml:space="preserve">Por todo lo expuesto, corresponde rechazar los agravios y confirmar la sentencia apelada en cuanto fuera materia de recurso, con costas de Alzada a la recurrente vencida (arts. 68 y 69 del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Scaraffía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el decisorio puesto en crisis.</w:t>
      </w:r>
    </w:p>
    <w:p>
      <w:pPr>
        <w:pStyle w:val="[Normal]"/>
        <w:spacing w:line="360" w:lineRule="auto"/>
        <w:ind w:firstLine="1134"/>
        <w:jc w:val="both"/>
        <w:rPr>
          <w:lang w:val="es-AR" w:eastAsia="es-AR" w:bidi="es-AR"/>
        </w:rPr>
      </w:pPr>
      <w:r>
        <w:rPr>
          <w:lang w:val="es-AR" w:eastAsia="es-AR" w:bidi="es-AR"/>
        </w:rPr>
        <w:t xml:space="preserve">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el decisorio puesto en crisis.</w:t>
      </w:r>
    </w:p>
    <w:p>
      <w:pPr>
        <w:pStyle w:val="[Normal]"/>
        <w:spacing w:line="360" w:lineRule="auto"/>
        <w:ind w:firstLine="1134"/>
        <w:jc w:val="both"/>
        <w:rPr>
          <w:lang w:val="es-AR" w:eastAsia="es-AR" w:bidi="es-AR"/>
        </w:rPr>
      </w:pPr>
      <w:r>
        <w:rPr>
          <w:lang w:val="es-AR" w:eastAsia="es-AR" w:bidi="es-AR"/>
        </w:rPr>
        <w:t xml:space="preserve">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09/06/2026 09:57:37 -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09/06/2026 10:21:45 -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09/06/2026 10:32:39 -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‰8?")è&amp;y'0^Š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243102090006890716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09/06/2026 10:32:59 hs. bajo el número RS-94-2026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U">
    <w:name w:val="U"/>
    <w:qFormat/>
    <w:rPr>
      <w:u w:val="single"/>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