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b/>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5945-25</w:t>
      </w:r>
      <w:r>
        <w:rPr>
          <w:b/>
          <w:lang w:val="es-AR" w:eastAsia="es-AR" w:bidi="es-AR"/>
        </w:rPr>
        <w:t xml:space="preserve"> </w:t>
      </w:r>
      <w:r>
        <w:rPr>
          <w:lang w:val="es-AR" w:eastAsia="es-AR" w:bidi="es-AR"/>
        </w:rPr>
        <w:t xml:space="preserve">caratulados </w:t>
      </w:r>
      <w:r>
        <w:rPr>
          <w:b/>
          <w:lang w:val="es-AR" w:eastAsia="es-AR" w:bidi="es-AR"/>
        </w:rPr>
        <w:t xml:space="preserve">"</w:t>
      </w:r>
      <w:r>
        <w:rPr>
          <w:b/>
          <w:color w:val="000000"/>
          <w:lang w:val="es-AR" w:eastAsia="es-AR" w:bidi="es-AR"/>
        </w:rPr>
        <w:t xml:space="preserve">TESTA JOSE LUIS C/ RASUK ARIEL ANGEL S/ DAÑOS Y PERJUICIOS PROV. EXPLOTACION AGRICOLA</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78523 </w:t>
      </w:r>
      <w:r>
        <w:rPr>
          <w:lang w:val="es-AR" w:eastAsia="es-AR" w:bidi="es-AR"/>
        </w:rPr>
        <w:t xml:space="preserve">del Juzgado en lo Civil y Comercial N° 1, encontrándose el Dr. Roberto Degleue excusado en fecha 24-2-2026, se ordenó la integración de este Tribunal y se practicó el sorteo de ley que determinó que la votación debía efectuarse en el siguiente orden: Graciela Scaraffia y Renato Santore estudiados los autos se resolvió plantear y votar las siguientes: </w:t>
      </w:r>
    </w:p>
    <w:p>
      <w:pPr>
        <w:pStyle w:val="[Normal]"/>
        <w:spacing w:line="360" w:lineRule="auto"/>
        <w:ind w:firstLine="1134"/>
        <w:jc w:val="both"/>
        <w:rPr>
          <w:color w:val="000000"/>
          <w:lang w:val="es-AR" w:eastAsia="es-AR" w:bidi="es-AR"/>
        </w:rPr>
      </w:pPr>
      <w:r>
        <w:rPr>
          <w:b/>
          <w:color w:val="000000"/>
          <w:lang w:val="es-AR" w:eastAsia="es-AR" w:bidi="es-AR"/>
        </w:rPr>
        <w:t xml:space="preserve">C U E S T I O N E S</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lang w:val="es-AR" w:eastAsia="es-AR" w:bidi="es-AR"/>
        </w:rPr>
      </w:pPr>
      <w:r>
        <w:rPr>
          <w:color w:val="000000"/>
          <w:lang w:val="es-AR" w:eastAsia="es-AR" w:bidi="es-AR"/>
        </w:rPr>
        <w:t xml:space="preserve">El Sr. Juez de la anterior instancia rechazó</w:t>
      </w:r>
      <w:r>
        <w:rPr>
          <w:lang w:val="es-AR" w:eastAsia="es-AR" w:bidi="es-AR"/>
        </w:rPr>
        <w:t xml:space="preserve"> la demanda incoada por el Sr. José Luis Testa por Daños y Perjuicios contra el Sr. Angel Ariel Rasuk, el Sr. Hernán Iocco y la citada en garantía La Segunda Cooperativa Limitada de Seguros Generales. Aplicó las costas a la parte actora, que resulta vencida (art. 68 C.P.C.). Difirió la regulación de honorarios de los letrados intervinientes y del perito, hasta que medie firme la respectiva liquidación de intereses y gastos (art. 51 ley 14.967).-</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del recurso de apelación interpuesto el día 14-11-2025 por la parte actora, concedido el 19-11-2025 libremente y en efecto suspensivo.  26-11-2025 la parte actora fundo su recurso.</w:t>
      </w:r>
    </w:p>
    <w:p>
      <w:pPr>
        <w:pStyle w:val="[Normal]"/>
        <w:spacing w:line="360" w:lineRule="auto"/>
        <w:ind w:firstLine="1134"/>
        <w:jc w:val="both"/>
        <w:rPr>
          <w:color w:val="000000"/>
          <w:lang w:val="es-AR" w:eastAsia="es-AR" w:bidi="es-AR"/>
        </w:rPr>
      </w:pPr>
      <w:r>
        <w:rPr>
          <w:color w:val="000000"/>
          <w:lang w:val="es-AR" w:eastAsia="es-AR" w:bidi="es-AR"/>
        </w:rPr>
        <w:t xml:space="preserve">Elevados los autos a esta Alzada con fecha 16-12-2025 se ordenó el traslado </w:t>
      </w:r>
      <w:r>
        <w:rPr>
          <w:lang w:val="es-AR" w:eastAsia="es-AR" w:bidi="es-AR"/>
        </w:rPr>
        <w:t xml:space="preserve">a la parte demandada y a la citada en garantía, </w:t>
      </w:r>
      <w:r>
        <w:rPr>
          <w:color w:val="000000"/>
          <w:lang w:val="es-AR" w:eastAsia="es-AR" w:bidi="es-AR"/>
        </w:rPr>
        <w:t xml:space="preserve">de la </w:t>
      </w:r>
      <w:r>
        <w:rPr>
          <w:lang w:val="es-AR" w:eastAsia="es-AR" w:bidi="es-AR"/>
        </w:rPr>
        <w:t xml:space="preserve">fundamentación anticipada hecha por la</w:t>
      </w:r>
      <w:r>
        <w:rPr>
          <w:color w:val="000000"/>
          <w:lang w:val="es-AR" w:eastAsia="es-AR" w:bidi="es-AR"/>
        </w:rPr>
        <w:t xml:space="preserve"> parte actora. En fecha 22-12-2025 la misma es evacuada por la parte demandada y en fecha 1-2-2026 hace lo propio por la citada en garantía adhiriendo a los términos de la contestación de la accionada. Finalmente, en fecha 3-2-2026, se dicta el llamamiento de autos,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En sustento de su crítica recursiva, la parte actora plantea los siguientes puntos de agravio:</w:t>
      </w:r>
    </w:p>
    <w:p>
      <w:pPr>
        <w:pStyle w:val="[Normal]"/>
        <w:spacing w:line="360" w:lineRule="auto"/>
        <w:ind w:firstLine="1134"/>
        <w:jc w:val="both"/>
        <w:rPr>
          <w:color w:val="000000"/>
          <w:lang w:val="es-AR" w:eastAsia="es-AR" w:bidi="es-AR"/>
        </w:rPr>
      </w:pPr>
      <w:r>
        <w:rPr>
          <w:color w:val="000000"/>
          <w:lang w:val="es-AR" w:eastAsia="es-AR" w:bidi="es-AR"/>
        </w:rPr>
        <w:t xml:space="preserve">1) Violación del principio de congruencia. La actora sostiene que el juez rechazó la demanda sobre la base de una falta de legitimación activa tratada como si hubiera sido una excepción formal, cuando esa defensa no fue opuesta ni sustanciada en los términos procesales correspondientes. Afirma, por ello, que el fallo resolvió sobre una cuestión no introducida regularmente al debate y afectó el derecho de defensa.</w:t>
      </w:r>
    </w:p>
    <w:p>
      <w:pPr>
        <w:pStyle w:val="[Normal]"/>
        <w:spacing w:line="360" w:lineRule="auto"/>
        <w:ind w:firstLine="1134"/>
        <w:jc w:val="both"/>
        <w:rPr>
          <w:color w:val="000000"/>
          <w:lang w:val="es-AR" w:eastAsia="es-AR" w:bidi="es-AR"/>
        </w:rPr>
      </w:pPr>
      <w:r>
        <w:rPr>
          <w:color w:val="000000"/>
          <w:lang w:val="es-AR" w:eastAsia="es-AR" w:bidi="es-AR"/>
        </w:rPr>
        <w:t xml:space="preserve">2) Denegación implícita de prueba y afectación del derecho de defensa. Señala que, al resolver de oficio sobre la supuesta subsistencia del usufructo, se le impidió acreditar un hecho decisivo: el fallecimiento de la usufructuaria Monserrat Duró, que -según su postura- extinguía el usufructo de pleno derecho. Argumenta que la sentencia quedó asentada sobre una premisa fáctica falsa y sin darle oportunidad procesal de probar lo contrario.</w:t>
      </w:r>
    </w:p>
    <w:p>
      <w:pPr>
        <w:pStyle w:val="[Normal]"/>
        <w:spacing w:line="360" w:lineRule="auto"/>
        <w:ind w:firstLine="1134"/>
        <w:jc w:val="both"/>
        <w:rPr>
          <w:color w:val="000000"/>
          <w:lang w:val="es-AR" w:eastAsia="es-AR" w:bidi="es-AR"/>
        </w:rPr>
      </w:pPr>
      <w:r>
        <w:rPr>
          <w:color w:val="000000"/>
          <w:lang w:val="es-AR" w:eastAsia="es-AR" w:bidi="es-AR"/>
        </w:rPr>
        <w:t xml:space="preserve">3) Arbitrariedad por contradicción interna del fallo. La recurrente remarca que el propio a quo tuvo por no controvertido que el trigo del actor sufrió un daño parcial por deriva de fumigación, pero igualmente rechazó íntegramente la demanda por una razón desvinculada del daño acreditado. De allí deduce una contradicción interna, falta de motivación suficiente y omisión de valorar prueba relevante, como el acta notarial y la pericia agronómica.</w:t>
      </w:r>
    </w:p>
    <w:p>
      <w:pPr>
        <w:pStyle w:val="[Normal]"/>
        <w:spacing w:line="360" w:lineRule="auto"/>
        <w:ind w:firstLine="1134"/>
        <w:jc w:val="both"/>
        <w:rPr>
          <w:color w:val="000000"/>
          <w:lang w:val="es-AR" w:eastAsia="es-AR" w:bidi="es-AR"/>
        </w:rPr>
      </w:pPr>
      <w:r>
        <w:rPr>
          <w:color w:val="000000"/>
          <w:lang w:val="es-AR" w:eastAsia="es-AR" w:bidi="es-AR"/>
        </w:rPr>
        <w:t xml:space="preserve">4) Errónea interpretación del derecho de usufructo y de la legitimación del nudo propietario. Aun en la hipótesis de que el usufructo hubiera subsistido, la actora afirma que el nudo propietario conserva legitimación para reclamar por daños que afecten la sustancia o el valor del bien. En esa línea, sostiene que la sentencia yerra al negar toda aptitud reclamatoria al actor por su sola condición de nudo propietario.</w:t>
      </w:r>
    </w:p>
    <w:p>
      <w:pPr>
        <w:pStyle w:val="[Normal]"/>
        <w:spacing w:line="360" w:lineRule="auto"/>
        <w:ind w:firstLine="1134"/>
        <w:jc w:val="both"/>
        <w:rPr>
          <w:color w:val="000000"/>
          <w:lang w:val="es-AR" w:eastAsia="es-AR" w:bidi="es-AR"/>
        </w:rPr>
      </w:pPr>
      <w:r>
        <w:rPr>
          <w:color w:val="000000"/>
          <w:lang w:val="es-AR" w:eastAsia="es-AR" w:bidi="es-AR"/>
        </w:rPr>
        <w:t xml:space="preserve">A su turno, la parte demandada, al contestar los agravios, sostiene que no se verifica la alegada contradicción interna del fallo, desde que la sentencia no rechazó la demanda por inexistencia del daño, sino por considerar que el actor carecía de legitimación activa para reclamar su reparación. 	</w:t>
        <w:br w:type="textWrapping"/>
      </w:r>
      <w:r>
        <w:rPr>
          <w:color w:val="000000"/>
          <w:lang w:val="es-AR" w:eastAsia="es-AR" w:bidi="es-AR"/>
        </w:rPr>
        <w:t xml:space="preserve"> 	Señala, en ese sentido, que aun cuando pudiera admitirse alguna afectación en el cultivo, ello no alteraba el fundamento dirimente del pronunciamiento, consistente en que Testa sólo acreditó la nuda propiedad de una porción del inmueble y no el derecho actual de uso y goce sobre el predio ni, por ende, la titularidad para perseguir indemnización por los frutos o por la explotación agrícola. 	</w:t>
        <w:br w:type="textWrapping"/>
      </w:r>
      <w:r>
        <w:rPr>
          <w:color w:val="000000"/>
          <w:lang w:val="es-AR" w:eastAsia="es-AR" w:bidi="es-AR"/>
        </w:rPr>
        <w:t xml:space="preserve"> 	De allí concluye que, correctamente apreciada la cuestión, todo lo atinente a la magnitud, prueba o extensión del daño quedaba lógicamente desplazado por ese obstáculo previo. La citada en garantía, por su parte, adhirió en un todo a esa presentación.</w:t>
      </w:r>
    </w:p>
    <w:p>
      <w:pPr>
        <w:pStyle w:val="[Normal]"/>
        <w:spacing w:line="360" w:lineRule="auto"/>
        <w:ind w:firstLine="1134"/>
        <w:jc w:val="both"/>
        <w:rPr>
          <w:color w:val="000000"/>
          <w:lang w:val="es-AR" w:eastAsia="es-AR" w:bidi="es-AR"/>
        </w:rPr>
      </w:pPr>
      <w:r>
        <w:rPr>
          <w:color w:val="000000"/>
          <w:lang w:val="es-AR" w:eastAsia="es-AR" w:bidi="es-AR"/>
        </w:rPr>
        <w:t xml:space="preserve">Entrando a resolver, advierto que la cuestión controvertida sometida a revisión gira en torno de la legitimación activa de la parte actora para promover la pretensión jurídica resarcitoria en los presente autos. Sobre esta dimensión, se deslizan una serie de subcuestiones que van desde la procedencia sustancial de la defensa opuesta hasta la violación del debido proceso por ausencia de traslado de la misma e imposibilidad de producir prueba.</w:t>
      </w:r>
    </w:p>
    <w:p>
      <w:pPr>
        <w:pStyle w:val="[Normal]"/>
        <w:spacing w:line="360" w:lineRule="auto"/>
        <w:ind w:firstLine="1134"/>
        <w:jc w:val="both"/>
        <w:rPr>
          <w:color w:val="000000"/>
          <w:lang w:val="es-AR" w:eastAsia="es-AR" w:bidi="es-AR"/>
        </w:rPr>
      </w:pPr>
      <w:r>
        <w:rPr>
          <w:color w:val="000000"/>
          <w:lang w:val="es-AR" w:eastAsia="es-AR" w:bidi="es-AR"/>
        </w:rPr>
        <w:t xml:space="preserve">Por razones metodológicas, ingresaremos en primer término en el epicentro sustancial de la cuestión, cuál es la legitimación ad causam del nudo propietario para reclamar el daño patrimonial por afectación de los cultivos. Y finalmente, nos adentraremos en el análisis de los vicios procesales denunciados.</w:t>
      </w:r>
    </w:p>
    <w:p>
      <w:pPr>
        <w:pStyle w:val="[Normal]"/>
        <w:spacing w:line="360" w:lineRule="auto"/>
        <w:ind w:firstLine="1134"/>
        <w:jc w:val="both"/>
        <w:rPr>
          <w:color w:val="000000"/>
          <w:lang w:val="es-AR" w:eastAsia="es-AR" w:bidi="es-AR"/>
        </w:rPr>
      </w:pPr>
      <w:r>
        <w:rPr>
          <w:color w:val="000000"/>
          <w:lang w:val="es-AR" w:eastAsia="es-AR" w:bidi="es-AR"/>
        </w:rPr>
        <w:t xml:space="preserve">I.- Sobre este piso de marcha, comenzaré el análisis con el tratamiento del agravio relativo al rechazo de la legitimación del nudo propietario para reclamar el perjuicio sufrido por la pérdida de trigo sembrado en el inmueble rural objeto de su propiedad.</w:t>
      </w:r>
    </w:p>
    <w:p>
      <w:pPr>
        <w:pStyle w:val="[Normal]"/>
        <w:spacing w:line="360" w:lineRule="auto"/>
        <w:ind w:firstLine="1134"/>
        <w:jc w:val="both"/>
        <w:rPr>
          <w:lang w:val="es-AR" w:eastAsia="es-AR" w:bidi="es-AR"/>
        </w:rPr>
      </w:pPr>
      <w:r>
        <w:rPr>
          <w:color w:val="000000"/>
          <w:lang w:val="es-AR" w:eastAsia="es-AR" w:bidi="es-AR"/>
        </w:rPr>
        <w:t xml:space="preserve">En aras de facilitar la comprensión y resolución de la temática en ciernes, considero apropiado vertir algunas consideraciones generales sobre la legitimación ad causam que, por su pertinencia conceptual y jurídica, brindarán un andamiaje funcional para la construcción de la solución jurídica que habrá de propiciarse en el caso bajo juzgamiento.	</w:t>
        <w:br w:type="textWrapping"/>
      </w:r>
      <w:r>
        <w:rPr>
          <w:lang w:val="es-AR" w:eastAsia="es-AR" w:bidi="es-AR"/>
        </w:rPr>
        <w:t xml:space="preserve">	El concepto de legitimación alude a una especial condición o vinculación de uno o varios sujetos con un objeto litigioso determinado, que los habilita para comparecer o exige su comparecencia, individualmente o junto a otros en un proceso concreto con el fin de obtener una sentencia de fondo.	</w:t>
        <w:br w:type="textWrapping"/>
      </w:r>
      <w:r>
        <w:rPr>
          <w:lang w:val="es-AR" w:eastAsia="es-AR" w:bidi="es-AR"/>
        </w:rPr>
        <w:t xml:space="preserve"> 	Desde el punto de vista sistémico, el examen de la legitimación entraña un requisito previo del análisis del problema de fondo. A diferencia de la capacidad para ser parte y de la capacidad procesal, la legitimación no tiene naturaleza procesal, sino que es un elemento de la fundamentación de la pretensión que impide resolver sobre la cuestión de fondo (CORTES DOMINGUEZ, Valentín, GIMENO SENDRA, Vicente y MORENO CATENA, Víctor, Derecho Procesal Civil, Parte General, Ed. Colex, Madrid, 2003, pág. 98-99).</w:t>
      </w:r>
    </w:p>
    <w:p>
      <w:pPr>
        <w:pStyle w:val="[Normal]"/>
        <w:spacing w:line="360" w:lineRule="auto"/>
        <w:ind w:firstLine="1134"/>
        <w:jc w:val="both"/>
        <w:rPr>
          <w:lang w:val="es-AR" w:eastAsia="es-AR" w:bidi="es-AR"/>
        </w:rPr>
      </w:pPr>
      <w:r>
        <w:rPr>
          <w:lang w:val="es-AR" w:eastAsia="es-AR" w:bidi="es-AR"/>
        </w:rPr>
        <w:t xml:space="preserve">Como consecuencia lógica de lo expuesto, bien puede decirse que cualquier persona con capacidad para ser parte y con capacidad de obrar procesal, puede en principio figurar como parte en un proceso, pero sólo la que ostenta un interés legítimo en la decisión jurisdiccional debe actuar como parte en el proceso concreto y determinado en el cual la controversia se suscita (Cf. MORÓN PALOMINO, Manuel, Derecho Procesal Civil. -Cuestiones fundamentales-, Marcials Pons, Madrid, 1993, pág. 213-214).</w:t>
      </w:r>
    </w:p>
    <w:p>
      <w:pPr>
        <w:pStyle w:val="[Normal]"/>
        <w:spacing w:line="360" w:lineRule="auto"/>
        <w:ind w:firstLine="1134"/>
        <w:jc w:val="both"/>
        <w:rPr>
          <w:lang w:val="es-AR" w:eastAsia="es-AR" w:bidi="es-AR"/>
        </w:rPr>
      </w:pPr>
      <w:r>
        <w:rPr>
          <w:lang w:val="es-AR" w:eastAsia="es-AR" w:bidi="es-AR"/>
        </w:rPr>
        <w:t xml:space="preserve">En el fondo, es el derecho material quien nos dice que en el proceso han de estar como partes los sujetos que, por la relación en que se hallen respecto del objeto mismo, están llamados a ejercitar la acción y a defenderse, como parte activa y parte pasiva respectivamente. Estos sujetos reciben la denominación de "partes legitimadas" y a la cualidad de demandabilidad que poseen se la llama "legitimación". Se trata, ni más ni menos, de la facultad de llevar el proceso como demandante (legitimación activa) o como demandado (legitimación pasiva), otrora denominada </w:t>
      </w:r>
      <w:r>
        <w:rPr>
          <w:i/>
          <w:lang w:val="es-AR" w:eastAsia="es-AR" w:bidi="es-AR"/>
        </w:rPr>
        <w:t xml:space="preserve">legitimatio ad causam</w:t>
      </w:r>
      <w:r>
        <w:rPr>
          <w:lang w:val="es-AR" w:eastAsia="es-AR" w:bidi="es-AR"/>
        </w:rPr>
        <w:t xml:space="preserve"> (MOREA, Adrián Oscar, La legitimación procesal como requisito autónomo. Publicado en Editorial Infojus en fecha 19 de Marzo de 2026, www.saij.gob.ar, Id SAIJ: DACF260026). 	</w:t>
        <w:br w:type="textWrapping"/>
      </w:r>
      <w:r>
        <w:rPr>
          <w:lang w:val="es-AR" w:eastAsia="es-AR" w:bidi="es-AR"/>
        </w:rPr>
        <w:t xml:space="preserve"> 	Con un sentido integrador, Palacio califica a la legitimación para obrar como un requisito intrínseco de admisibilidad de la pretensión. Específicamente, la define como aquel requisito "en cuya virtud debe mediar una coincidencia entre las personas que efectivamente actúan en el proceso y las personas a las cuales la ley habilita especialmente para pretender (legitimación activa) y para contradecir (legitimación pasiva) respecto de a materia sobre la cual versa el proceso" (PALACIO, Lino Enrique, Derecho Procesal Civil, Ed. Abeledo Perrot , Buenos Aires, 1975, pág. 406).	</w:t>
        <w:br w:type="textWrapping"/>
      </w:r>
      <w:r>
        <w:rPr>
          <w:lang w:val="es-AR" w:eastAsia="es-AR" w:bidi="es-AR"/>
        </w:rPr>
        <w:t xml:space="preserve"> 	En similar línea conceptual, Guasp afirma que la legitimación procesal es </w:t>
      </w:r>
      <w:r>
        <w:rPr>
          <w:i/>
          <w:lang w:val="es-AR" w:eastAsia="es-AR" w:bidi="es-AR"/>
        </w:rPr>
        <w:t xml:space="preserve">"la consideración especial en que tiene la ley, dentro de cada proceso, a las personas que se hallan en una determinada relación con el objeto del litigio y, en virtud de la cual, exige, para que la pretensión procesal pueda ser examinada en cuanto al fondo, que sean esas personas las que figuren como partes en el proceso"</w:t>
      </w:r>
      <w:r>
        <w:rPr>
          <w:lang w:val="es-AR" w:eastAsia="es-AR" w:bidi="es-AR"/>
        </w:rPr>
        <w:t xml:space="preserve"> (GUASP, Jaime, Derecho Procesal Civil, Institutos de Estudios Políticos, Madrid, 1968, tomo 1, pág 185).</w:t>
      </w:r>
    </w:p>
    <w:p>
      <w:pPr>
        <w:pStyle w:val="[Normal]"/>
        <w:spacing w:line="360" w:lineRule="auto"/>
        <w:ind w:firstLine="1134"/>
        <w:jc w:val="both"/>
        <w:rPr>
          <w:lang w:val="es-AR" w:eastAsia="es-AR" w:bidi="es-AR"/>
        </w:rPr>
      </w:pPr>
      <w:r>
        <w:rPr>
          <w:lang w:val="es-AR" w:eastAsia="es-AR" w:bidi="es-AR"/>
        </w:rPr>
        <w:t xml:space="preserve">De manera directa, expresa Enderle que: </w:t>
      </w:r>
      <w:r>
        <w:rPr>
          <w:i/>
          <w:lang w:val="es-AR" w:eastAsia="es-AR" w:bidi="es-AR"/>
        </w:rPr>
        <w:t xml:space="preserve">“es la aptitud o habilidad que tiene una persona , en función del objeto de la pretensión, para intervenir en la relación procesal como actor o demandado (legitimación activa o pasiva, respectivamente)” (</w:t>
      </w:r>
      <w:r>
        <w:rPr>
          <w:lang w:val="es-AR" w:eastAsia="es-AR" w:bidi="es-AR"/>
        </w:rPr>
        <w:t xml:space="preserve">(ENDERLE, Guillermo, La pretensión meramente declarativa, Ed. Librería Editora Platense, La Plata, 2005, pág. 111).	</w:t>
      </w:r>
      <w:r>
        <w:rPr>
          <w:i/>
          <w:lang w:val="es-AR" w:eastAsia="es-AR" w:bidi="es-AR"/>
        </w:rPr>
        <w:br w:type="textWrapping"/>
      </w:r>
      <w:r>
        <w:rPr>
          <w:i/>
          <w:lang w:val="es-AR" w:eastAsia="es-AR" w:bidi="es-AR"/>
        </w:rPr>
        <w:t xml:space="preserve"> 	</w:t>
      </w:r>
      <w:r>
        <w:rPr>
          <w:lang w:val="es-AR" w:eastAsia="es-AR" w:bidi="es-AR"/>
        </w:rPr>
        <w:t xml:space="preserve">La Suprema Corte de Justicia de la Provincia de Buenos Aires ha sostenido que la aptitud para ser parte en un proceso concreto, denominada por el Derecho Procesal legitimatio ad causam, constituye un requisito subjetivo de la pretensión en cuanto supone la titularidad activa o pasiva de la relación jurídica sustancial: de ahí la afirmación de que la persona legitimada en un determinado proceso es aquella revestida por la ley para discutir el objeto sobre el que versa el litigio. Dicha aptitud viene determinada por la posición respecto de la pretensión procesal, de tal modo que sólo las personas que se encuentran en cierta relación con la acción pueden ser parte en el pleito en el que ésta se deduce ( SCBA, </w:t>
      </w:r>
      <w:r>
        <w:rPr>
          <w:i/>
          <w:lang w:val="es-AR" w:eastAsia="es-AR" w:bidi="es-AR"/>
        </w:rPr>
        <w:t xml:space="preserve">“Colegio de Ingenieros de la Provincia de Buenos Aires c/ Provincia de Buenos Aires”</w:t>
      </w:r>
      <w:r>
        <w:rPr>
          <w:lang w:val="es-AR" w:eastAsia="es-AR" w:bidi="es-AR"/>
        </w:rPr>
        <w:t xml:space="preserve">, 26/5/2021, B5076625).	</w:t>
        <w:br w:type="textWrapping"/>
      </w:r>
      <w:r>
        <w:rPr>
          <w:lang w:val="es-AR" w:eastAsia="es-AR" w:bidi="es-AR"/>
        </w:rPr>
        <w:t xml:space="preserve"> 	En concordancia con lo expuesto en el párrafo anterior, es dable deducir que cuando se formula un planteo de falta de legitimación para obrar </w:t>
      </w:r>
      <w:r>
        <w:rPr>
          <w:i/>
          <w:lang w:val="es-AR" w:eastAsia="es-AR" w:bidi="es-AR"/>
        </w:rPr>
        <w:t xml:space="preserve">“se controvierte la existencia de la legitimatio ad causam, o sea que quien demanda o aquel contra quien se demanda, no revisten la condición de personas idóneas o habilitadas por la ley para discutir el objeto sobre el que versa el litigio”</w:t>
      </w:r>
      <w:r>
        <w:rPr>
          <w:lang w:val="es-AR" w:eastAsia="es-AR" w:bidi="es-AR"/>
        </w:rPr>
        <w:t xml:space="preserve"> (MORELLO, Augusto, SOSA, Gualberto y BERIZONCE, Roberto, Códigos Procesales Civil y Comercial de la Provincia de Buenos Aires y de la Nación, Ed. Abeledo Perrot , Librería Editora Platense, La Plata , 1990, t. IV-B, pág.221).</w:t>
      </w:r>
    </w:p>
    <w:p>
      <w:pPr>
        <w:pStyle w:val="[Normal]"/>
        <w:spacing w:line="360" w:lineRule="auto"/>
        <w:ind w:firstLine="1134"/>
        <w:jc w:val="both"/>
        <w:rPr>
          <w:lang w:val="es-AR" w:eastAsia="es-AR" w:bidi="es-AR"/>
        </w:rPr>
      </w:pPr>
      <w:r>
        <w:rPr>
          <w:lang w:val="es-AR" w:eastAsia="es-AR" w:bidi="es-AR"/>
        </w:rPr>
        <w:t xml:space="preserve">De este modo, la falta de legitimación puede definirse como </w:t>
      </w:r>
      <w:r>
        <w:rPr>
          <w:i/>
          <w:lang w:val="es-AR" w:eastAsia="es-AR" w:bidi="es-AR"/>
        </w:rPr>
        <w:t xml:space="preserve">“la ausencia de la cualidad del derecho de pretender la sentencia favorable respecto de lo que es objeto del litigio, cualidad que en la generalidad de los casos coincide con la titularidad de la relación jurídica- sustancial”</w:t>
      </w:r>
      <w:r>
        <w:rPr>
          <w:lang w:val="es-AR" w:eastAsia="es-AR" w:bidi="es-AR"/>
        </w:rPr>
        <w:t xml:space="preserve"> (CARLI, Carlo, La demanda Civil, Ed. Lex, La Plata, 1973, pág. 226).</w:t>
      </w:r>
    </w:p>
    <w:p>
      <w:pPr>
        <w:pStyle w:val="[Normal]"/>
        <w:spacing w:line="360" w:lineRule="auto"/>
        <w:ind w:firstLine="1134"/>
        <w:jc w:val="both"/>
        <w:rPr>
          <w:lang w:val="es-AR" w:eastAsia="es-AR" w:bidi="es-AR"/>
        </w:rPr>
      </w:pPr>
      <w:r>
        <w:rPr>
          <w:lang w:val="es-AR" w:eastAsia="es-AR" w:bidi="es-AR"/>
        </w:rPr>
        <w:t xml:space="preserve">Sobre este asunto, la Corte Nacional ha propugnado que la falta de legitimación sustancial se configura cuando alguna de las partes no es el titular de la relación jurídica en que se sustenta la pretensión, con prescindencia de la fundabilidad de ésta. También ha señalado que se configura la falta de legitimación sustancial activa cuando el actor carece de interés jurídico tutelable (CSJN, “Indicom S.A. c/ Buenos Aires s/ Cobro de pesos”, Fallos 327:84).</w:t>
      </w:r>
    </w:p>
    <w:p>
      <w:pPr>
        <w:pStyle w:val="[Normal]"/>
        <w:spacing w:line="360" w:lineRule="auto"/>
        <w:ind w:firstLine="1134"/>
        <w:jc w:val="both"/>
        <w:rPr>
          <w:lang w:val="es-AR" w:eastAsia="es-AR" w:bidi="es-AR"/>
        </w:rPr>
      </w:pPr>
      <w:r>
        <w:rPr>
          <w:lang w:val="es-AR" w:eastAsia="es-AR" w:bidi="es-AR"/>
        </w:rPr>
        <w:t xml:space="preserve">De manera que existe falta de legitimación para obrar cuando el actor o el demandado no son las personas especialmente habilitadas por la ley para asumir tales calidades, con referencia a la concreta materia sobre la que versa el proceso. O dicho en otros términos, cuando no media coincidencia entre las personas que efectivamente actúan en el proceso y aquellas a las cuales la ley habilita especialmente para pretender o contradecir respecto de la materia sobre la cual versa el proceso.	</w:t>
        <w:br w:type="textWrapping"/>
      </w:r>
      <w:r>
        <w:rPr>
          <w:lang w:val="es-AR" w:eastAsia="es-AR" w:bidi="es-AR"/>
        </w:rPr>
        <w:t xml:space="preserve"> 	Cuando la persona que demanda en un proceso está habilitada por la ley para reclamar un pronunciamiento sobre el fondo del asunto planteado, existe legitimación activa. 	</w:t>
        <w:br w:type="textWrapping"/>
      </w:r>
      <w:r>
        <w:rPr>
          <w:lang w:val="es-AR" w:eastAsia="es-AR" w:bidi="es-AR"/>
        </w:rPr>
        <w:t xml:space="preserve"> 	La jurisprudencia prácticamente unánime adopta esta línea conceptual. Al respecto, se ha dicho que: </w:t>
      </w:r>
      <w:r>
        <w:rPr>
          <w:i/>
          <w:lang w:val="es-AR" w:eastAsia="es-AR" w:bidi="es-AR"/>
        </w:rPr>
        <w:t xml:space="preserve">“La legitimación activa implica la aptitud para estar en juicio en calidad de parte actora, a fin de lograr una sentencia sobre el fondo o mérito del conflicto suscitado, que puede ser favorable o desfavorable; mientras que la legitimación pasiva se vincula con la identidad de la persona demandada y el sujeto pasivo de la relación sustancial controvertida”</w:t>
      </w:r>
      <w:r>
        <w:rPr>
          <w:lang w:val="es-AR" w:eastAsia="es-AR" w:bidi="es-AR"/>
        </w:rPr>
        <w:t xml:space="preserve"> (C3°CCMPaz y Trib. 1° Circ. Mendoza, 4/8/2015, Revista del Foro, n° 150).</w:t>
      </w:r>
    </w:p>
    <w:p>
      <w:pPr>
        <w:pStyle w:val="[Normal]"/>
        <w:spacing w:line="360" w:lineRule="auto"/>
        <w:ind w:firstLine="1134"/>
        <w:jc w:val="both"/>
        <w:rPr>
          <w:lang w:val="es-AR" w:eastAsia="es-AR" w:bidi="es-AR"/>
        </w:rPr>
      </w:pPr>
      <w:r>
        <w:rPr>
          <w:lang w:val="es-AR" w:eastAsia="es-AR" w:bidi="es-AR"/>
        </w:rPr>
        <w:t xml:space="preserve">En la faz práctica, suele ser la legitimación activa la que genera mayores problemas. Es que no a cualquier persona, ajena al litigio, le puede ser reconocida esa facultad, pues ello permitiría una injerencia intolerable en la esfera de derechos ajenos. Pero tampoco cabe exigir la titularidad inequívoca del derecho reclamado, pues ello no se conocerá hasta la sentencia. </w:t>
      </w:r>
    </w:p>
    <w:p>
      <w:pPr>
        <w:pStyle w:val="[Normal]"/>
        <w:spacing w:line="360" w:lineRule="auto"/>
        <w:ind w:firstLine="1134"/>
        <w:jc w:val="both"/>
        <w:rPr>
          <w:lang w:val="es-AR" w:eastAsia="es-AR" w:bidi="es-AR"/>
        </w:rPr>
      </w:pPr>
      <w:r>
        <w:rPr>
          <w:lang w:val="es-AR" w:eastAsia="es-AR" w:bidi="es-AR"/>
        </w:rPr>
        <w:t xml:space="preserve">Bajando a la plataforma fáctica, jurídica y procesal del caso en ciernes, cabe referir que la apelante sostiene que, aun en la hipótesis de subsistencia del usufructo, el nudo propietario mantiene legitimación activa para reclamar los daños que afecten la sustancia o el valor del bien, en razón del interés jurídico que conserva en la integridad del inmueble. </w:t>
      </w:r>
    </w:p>
    <w:p>
      <w:pPr>
        <w:pStyle w:val="[Normal]"/>
        <w:spacing w:line="360" w:lineRule="auto"/>
        <w:ind w:firstLine="1134"/>
        <w:jc w:val="both"/>
        <w:rPr>
          <w:lang w:val="es-AR" w:eastAsia="es-AR" w:bidi="es-AR"/>
        </w:rPr>
      </w:pPr>
      <w:r>
        <w:rPr>
          <w:lang w:val="es-AR" w:eastAsia="es-AR" w:bidi="es-AR"/>
        </w:rPr>
        <w:t xml:space="preserve">Sin embargo, tal planteo no alcanza a desvirtuar el fundamento dirimente del fallo apelado. En efecto, la sentencia de grado no desconoce, en abstracto, que el nudo propietario pueda accionar frente a menoscabos que incidan sobre su derecho de propiedad; antes bien, admite esa posibilidad, pero distingue que, cuando el perjuicio recae sobre el uso, goce y percepción de los frutos, la legitimación corresponde al usufructuario, en tanto titular de esas facultades. Sobre esa base, el a quo entendió que, tratándose en la especie de daños en la cosecha, el actor -a quien sólo se tuvo por acreditada la nuda propiedad- no revestía legitimación suficiente para promover el reclamo.</w:t>
      </w:r>
    </w:p>
    <w:p>
      <w:pPr>
        <w:pStyle w:val="[Normal]"/>
        <w:spacing w:line="360" w:lineRule="auto"/>
        <w:ind w:firstLine="1134"/>
        <w:jc w:val="both"/>
        <w:rPr>
          <w:lang w:val="es-AR" w:eastAsia="es-AR" w:bidi="es-AR"/>
        </w:rPr>
      </w:pPr>
      <w:r>
        <w:rPr>
          <w:lang w:val="es-AR" w:eastAsia="es-AR" w:bidi="es-AR"/>
        </w:rPr>
        <w:t xml:space="preserve">Tal conclusión guarda, en principio, adecuada correspondencia con la disciplina normativa del derecho real de usufructo establecida en el Código Civil y Comercial. En efecto, el usufructo confiere a su titular el derecho real de usar, gozar y disponer jurídicamente de un bien ajeno sin alterar su sustancia (art. 2129 CCyC); los frutos percibidos pertenecen al usufructuario, mientras que los pendientes al tiempo de la extinción corresponden al nudo propietario (art. 2141 CCyC); el usufructuario debe comunicar al nudo propietario las perturbaciones sufridas en razón de la cosa, respondiendo, en caso de omisión, por los daños que éste sufra (art. 2149 CCyC); y el nudo propietario conserva la disposición jurídica y material inherente a su derecho, aunque no debe turbar el uso y goce del usufructuario (art. 2151 CCyC). De ese plexo normativo se desprende, por un lado, que el nudo propietario no queda desprovisto de todo interés jurídicamente tutelable respecto del bien; pero, por otro, que la titularidad del uso, goce y frutos corresponde exclusivamente al usufructuario mientras el usufructo subsiste. </w:t>
      </w:r>
    </w:p>
    <w:p>
      <w:pPr>
        <w:pStyle w:val="[Normal]"/>
        <w:spacing w:line="360" w:lineRule="auto"/>
        <w:ind w:firstLine="1134"/>
        <w:jc w:val="both"/>
        <w:rPr>
          <w:lang w:val="es-AR" w:eastAsia="es-AR" w:bidi="es-AR"/>
        </w:rPr>
      </w:pPr>
      <w:r>
        <w:rPr>
          <w:lang w:val="es-AR" w:eastAsia="es-AR" w:bidi="es-AR"/>
        </w:rPr>
        <w:t xml:space="preserve">Tan intenso es el vaciamiento de los derechos de uso y goce que afecta al nudo propietario que su situación queda reducida a un estado jurídico de absoluta pasividad en relación a tal aspecto. Con gran claridad, lo explica Vázquez: </w:t>
      </w:r>
      <w:r>
        <w:rPr>
          <w:i/>
          <w:lang w:val="es-AR" w:eastAsia="es-AR" w:bidi="es-AR"/>
        </w:rPr>
        <w:t xml:space="preserve">"La situación del nudo propietario es pasiva, ya que una vez que entrega el objeto al usufructurario ya no tiene que brindarle prestaciones, Esta es una de las diferencias esenciales que existen entre el usufructuario y la locación, pues el locador no se libera entregando la cosa locatario, ya que debe conservar la cosa locada en estado de servir al uso y goce convenido, realizar a su cargo reparaciones, afrontar y ejecutar las mejoras necesarias, etc."</w:t>
      </w:r>
      <w:r>
        <w:rPr>
          <w:lang w:val="es-AR" w:eastAsia="es-AR" w:bidi="es-AR"/>
        </w:rPr>
        <w:t xml:space="preserve"> (VAZQUEZ, Gabriela, Derechos reañes, Ed. La Ley, Buenos Aires, 2020, pág. 722).</w:t>
      </w:r>
    </w:p>
    <w:p>
      <w:pPr>
        <w:pStyle w:val="[Normal]"/>
        <w:spacing w:line="360" w:lineRule="auto"/>
        <w:ind w:firstLine="1134"/>
        <w:jc w:val="both"/>
        <w:rPr>
          <w:lang w:val="es-AR" w:eastAsia="es-AR" w:bidi="es-AR"/>
        </w:rPr>
      </w:pPr>
      <w:r>
        <w:rPr>
          <w:lang w:val="es-AR" w:eastAsia="es-AR" w:bidi="es-AR"/>
        </w:rPr>
        <w:t xml:space="preserve">Y es precisamente a partir de esa nota de pasividad que se explica la ausencia de legitimación del nudo propietario para reclamar por daños a los frutos. En efecto, si la constitución del usufructo lo desplaza del uso y goce actual de la cosa, reduciendo su posición jurídica a la mera conservación de la titularidad desnuda, ello significa que los frutos y el aprovechamiento económico ordinario del bien dejan de integrar su esfera inmediata de señorío y pasan a incorporarse al contenido propio del derecho del usufructuario. Por consiguiente, cuando el menoscabo recae sobre la cosecha, el rinde o la utilidad derivada de la explotación, el interés directa e inmediatamente afectado no es el del nudo propietario, sino el de quien se encuentra investido de la facultad actual de usar, gozar y percibir esos frutos.</w:t>
      </w:r>
    </w:p>
    <w:p>
      <w:pPr>
        <w:pStyle w:val="[Normal]"/>
        <w:spacing w:line="360" w:lineRule="auto"/>
        <w:ind w:firstLine="1134"/>
        <w:jc w:val="both"/>
        <w:rPr>
          <w:lang w:val="es-AR" w:eastAsia="es-AR" w:bidi="es-AR"/>
        </w:rPr>
      </w:pPr>
      <w:r>
        <w:rPr>
          <w:lang w:val="es-AR" w:eastAsia="es-AR" w:bidi="es-AR"/>
        </w:rPr>
        <w:t xml:space="preserve">Esta distinción torna insuficiente la crítica recursiva. A saber, el punto decisivo no reside en establecer, en abstracto, si el nudo propietario puede alguna vez reclamar por daños que afecten la cosa, sino en determinar cuál fue, en concreto, el objeto de la pretensión deducida. Y sobre este aspecto no cabe hesitación: de la demanda surge que el actor reclamó, centralmente, la pérdida de la cosecha de trigo, los gastos derivados del evento, el lucro cesante por la imposibilidad de comercializar lo cosechado y los restantes detrimentos vinculados a la explotación agrícola. Es decir, la acción quedó estructurada no sobre un menoscabo autónomo a la sustancia o al valor venal del inmueble como objeto del derecho real, sino sobre las consecuencias patrimoniales derivadas de la frustración de los frutos y del aprovechamiento económico del predio.</w:t>
      </w:r>
    </w:p>
    <w:p>
      <w:pPr>
        <w:pStyle w:val="[Normal]"/>
        <w:spacing w:line="360" w:lineRule="auto"/>
        <w:ind w:firstLine="1134"/>
        <w:jc w:val="both"/>
        <w:rPr>
          <w:lang w:val="es-AR" w:eastAsia="es-AR" w:bidi="es-AR"/>
        </w:rPr>
      </w:pPr>
      <w:r>
        <w:rPr>
          <w:lang w:val="es-AR" w:eastAsia="es-AR" w:bidi="es-AR"/>
        </w:rPr>
        <w:t xml:space="preserve">Desde tal perspectiva, advierto que el agravio incurre en un desplazamiento del eje litigioso. La apelante procura fundar legitimación en una categoría -daño a la cosa en su sustancia o valor- que no coincide con los rubros efectivamente reclamados ni con la plataforma fáctico-jurídica sobre la que quedó trabada la litis. De allí que, aun cuando pudiera aceptarse como premisa general que el nudo propietario conserva legitimación para accionar frente a daños que afecten directamente la integridad o el valor del bien, ello no basta, por sí solo, para atribuirle aptitud reclamatoria respecto de la pérdida de cosecha, del lucro cesante proveniente de su frustrada comercialización y de los demás rubros conectados inmediatamente con el uso y goce del inmueble, materias que, durante la vigencia del usufructo, quedan comprendidas en la órbita jurídica del usufructuario (arts. 2129, 2141 y 2151 CCyC).”.</w:t>
      </w:r>
    </w:p>
    <w:p>
      <w:pPr>
        <w:pStyle w:val="[Normal]"/>
        <w:spacing w:line="360" w:lineRule="auto"/>
        <w:ind w:firstLine="1134"/>
        <w:jc w:val="both"/>
        <w:rPr>
          <w:lang w:val="es-AR" w:eastAsia="es-AR" w:bidi="es-AR"/>
        </w:rPr>
      </w:pPr>
      <w:r>
        <w:rPr>
          <w:lang w:val="es-AR" w:eastAsia="es-AR" w:bidi="es-AR"/>
        </w:rPr>
        <w:t xml:space="preserve">Ergo, puedo colegir que la sola condición de nudo propietario no habilitaba al actor, en el marco de esta pretensión tal como fue deducida, a reclamar indemnización por frutos o utilidades derivados de la explotación agrícola, sin que se hubiese demostrado, además, un título actual que lo colocara en la posición jurídica del titular del uso y goce de la parcela. Por lo que el acogimiento de la defensa de falta de legitimación estuvo ajustada a derecho y, en consecuencia, el agravio sobre tal extremo debe ser rechazado.</w:t>
      </w:r>
    </w:p>
    <w:p>
      <w:pPr>
        <w:pStyle w:val="[Normal]"/>
        <w:spacing w:line="360" w:lineRule="auto"/>
        <w:ind w:firstLine="1134"/>
        <w:jc w:val="both"/>
        <w:rPr>
          <w:lang w:val="es-AR" w:eastAsia="es-AR" w:bidi="es-AR"/>
        </w:rPr>
      </w:pPr>
      <w:r>
        <w:rPr>
          <w:lang w:val="es-AR" w:eastAsia="es-AR" w:bidi="es-AR"/>
        </w:rPr>
        <w:t xml:space="preserve">II.- La queja relativa a la violación del principio de congruencia tampoco habrá de ser favorablemente receptada.</w:t>
      </w:r>
    </w:p>
    <w:p>
      <w:pPr>
        <w:pStyle w:val="[Normal]"/>
        <w:spacing w:line="360" w:lineRule="auto"/>
        <w:ind w:firstLine="1134"/>
        <w:jc w:val="both"/>
        <w:rPr>
          <w:lang w:val="es-AR" w:eastAsia="es-AR" w:bidi="es-AR"/>
        </w:rPr>
      </w:pPr>
      <w:r>
        <w:rPr>
          <w:lang w:val="es-AR" w:eastAsia="es-AR" w:bidi="es-AR"/>
        </w:rPr>
        <w:t xml:space="preserve">Cabe recordar que el recurrente había sostenido que el sentenciante habría vulnerado el principio de congruencia al rechazar la demanda sobre la base de una falta de legitimación activa tratada como si hubiese sido articulada y sustanciada en los términos de una excepción de previo y especial pronunciamiento, cuando -según afirma- la contraria no dedujo formalmente tal defensa ni se imprimió al punto el trámite previsto por la ley ritual. Desde esa premisa, denuncia una decisión sorpresiva y lesiva del derecho de defensa. </w:t>
      </w:r>
    </w:p>
    <w:p>
      <w:pPr>
        <w:pStyle w:val="[Normal]"/>
        <w:spacing w:line="360" w:lineRule="auto"/>
        <w:ind w:firstLine="1134"/>
        <w:jc w:val="both"/>
        <w:rPr>
          <w:lang w:val="es-AR" w:eastAsia="es-AR" w:bidi="es-AR"/>
        </w:rPr>
      </w:pPr>
      <w:r>
        <w:rPr>
          <w:lang w:val="es-AR" w:eastAsia="es-AR" w:bidi="es-AR"/>
        </w:rPr>
        <w:t xml:space="preserve">Sin embargo, el examen de las constancias de la causa no autoriza a compartir esa crítica.</w:t>
      </w:r>
    </w:p>
    <w:p>
      <w:pPr>
        <w:pStyle w:val="[Normal]"/>
        <w:spacing w:line="360" w:lineRule="auto"/>
        <w:ind w:firstLine="1134"/>
        <w:jc w:val="both"/>
        <w:rPr>
          <w:lang w:val="es-AR" w:eastAsia="es-AR" w:bidi="es-AR"/>
        </w:rPr>
      </w:pPr>
      <w:r>
        <w:rPr>
          <w:lang w:val="es-AR" w:eastAsia="es-AR" w:bidi="es-AR"/>
        </w:rPr>
        <w:t xml:space="preserve">En efecto, de la contestación de demanda surge que el codemandado Rasuk introdujo expresamente la cuestión relativa a la legitimación del actor, al sostener que éste sólo acreditaba la cotitularidad de la nuda propiedad del inmueble y que no había demostrado la extinción del usufructo reservado, concluyendo de ello que no se hallaba habilitado -o, en su caso, sólo parcialmente habilitado- para reclamar el daño invocado. Y la propia sentencia apelada dejó sentado, en términos inequívocos, que correspondía abordar </w:t>
      </w:r>
      <w:r>
        <w:rPr>
          <w:i/>
          <w:lang w:val="es-AR" w:eastAsia="es-AR" w:bidi="es-AR"/>
        </w:rPr>
        <w:t xml:space="preserve">“en primer término la defensa de falta de legitimación activa argumentada por el codemandado Sr. Rasuk”</w:t>
      </w:r>
      <w:r>
        <w:rPr>
          <w:lang w:val="es-AR" w:eastAsia="es-AR" w:bidi="es-AR"/>
        </w:rPr>
        <w:t xml:space="preserve">. Vale decir, no se trató de una cuestión introducida </w:t>
      </w:r>
      <w:r>
        <w:rPr>
          <w:i/>
          <w:lang w:val="es-AR" w:eastAsia="es-AR" w:bidi="es-AR"/>
        </w:rPr>
        <w:t xml:space="preserve">ex officio</w:t>
      </w:r>
      <w:r>
        <w:rPr>
          <w:lang w:val="es-AR" w:eastAsia="es-AR" w:bidi="es-AR"/>
        </w:rPr>
        <w:t xml:space="preserve"> por el magistrado al tiempo de decidir, sino de una defensa oportunamente incorporada por una de las partes al marco del contradictorio.</w:t>
      </w:r>
    </w:p>
    <w:p>
      <w:pPr>
        <w:pStyle w:val="[Normal]"/>
        <w:spacing w:line="360" w:lineRule="auto"/>
        <w:ind w:firstLine="1134"/>
        <w:jc w:val="both"/>
        <w:rPr>
          <w:lang w:val="es-AR" w:eastAsia="es-AR" w:bidi="es-AR"/>
        </w:rPr>
      </w:pPr>
      <w:r>
        <w:rPr>
          <w:lang w:val="es-AR" w:eastAsia="es-AR" w:bidi="es-AR"/>
        </w:rPr>
        <w:t xml:space="preserve">Desde esa base, no advierto configurado el vicio de incongruencia que se denuncia. Como es sabido, la congruencia exige que la sentencia guarde correspondencia con las pretensiones y defensas articuladas por las partes (arts. 34 inc. 4 y 163 inc. 6 del CPCCBA). Pero justamente esa exigencia no aparece aquí desconocida, pues la falta de legitimación activa integró el thema decidendum desde el momento mismo en que fue opuesta por la demandada al contestar la acción. Si el juez se expidió sobre una defensa efectivamente deducida, no puede sostenerse con acierto que haya resuelto extra petita ni sobre una materia ajena al debate.</w:t>
      </w:r>
    </w:p>
    <w:p>
      <w:pPr>
        <w:pStyle w:val="[Normal]"/>
        <w:spacing w:line="360" w:lineRule="auto"/>
        <w:ind w:firstLine="1134"/>
        <w:jc w:val="both"/>
        <w:rPr>
          <w:lang w:val="es-AR" w:eastAsia="es-AR" w:bidi="es-AR"/>
        </w:rPr>
      </w:pPr>
      <w:r>
        <w:rPr>
          <w:lang w:val="es-AR" w:eastAsia="es-AR" w:bidi="es-AR"/>
        </w:rPr>
        <w:t xml:space="preserve">A mi modo de ver, el agravio parte de una premisa equivocada: confunde la vía de articulación de la falta de legitimación con la aptitud del órgano jurisdiccional para decidirla. En rigor, la legitimación </w:t>
      </w:r>
      <w:r>
        <w:rPr>
          <w:i/>
          <w:lang w:val="es-AR" w:eastAsia="es-AR" w:bidi="es-AR"/>
        </w:rPr>
        <w:t xml:space="preserve">ad causam</w:t>
      </w:r>
      <w:r>
        <w:rPr>
          <w:lang w:val="es-AR" w:eastAsia="es-AR" w:bidi="es-AR"/>
        </w:rPr>
        <w:t xml:space="preserve"> constituye un requisito de admisibilidad sustancial de la pretensión, distinto de la personería y diverso también del mero examen sobre la existencia del derecho invocado; se vincula con la coincidencia entre quienes actúan en el proceso y aquellos a quienes la ley habilita para pretender o contradecir respecto del objeto litigioso. Precisamente por esa naturaleza, su falta puede ser planteada tanto como excepción previa -cuando resulte manifiesta- cuanto como defensa de fondo en el escrito de responde, para ser resuelta en la sentencia definitiva.</w:t>
      </w:r>
    </w:p>
    <w:p>
      <w:pPr>
        <w:pStyle w:val="[Normal]"/>
        <w:spacing w:line="360" w:lineRule="auto"/>
        <w:ind w:firstLine="1134"/>
        <w:jc w:val="both"/>
        <w:rPr>
          <w:lang w:val="es-AR" w:eastAsia="es-AR" w:bidi="es-AR"/>
        </w:rPr>
      </w:pPr>
      <w:r>
        <w:rPr>
          <w:lang w:val="es-AR" w:eastAsia="es-AR" w:bidi="es-AR"/>
        </w:rPr>
        <w:t xml:space="preserve">Esa solución encuentra recepción expresa en el ordenamiento bonaerense. En efecto, el art. 345 inc. 3 del CPCCBA contempla la falta de legitimación para obrar como excepción previa cuando fuere manifiesta, sin perjuicio de que, de no concurrir tal carácter, el juez la considere en la sentencia definitiva; y el régimen de los arts. 348 y 351 del mismo cuerpo legal evidencia, correlativamente, que no toda alegación de falta de legitimación exige una sustanciación incidental autónoma, sino sólo aquella que se pretende hacer valer con tratamiento preliminar y sobre la base de su evidencia inicial. Fuera de ese supuesto, nada obsta a que la cuestión sea introducida en la contestación de demanda y diferida para su decisión al tiempo del fallo.</w:t>
      </w:r>
    </w:p>
    <w:p>
      <w:pPr>
        <w:pStyle w:val="[Normal]"/>
        <w:spacing w:line="360" w:lineRule="auto"/>
        <w:ind w:firstLine="1134"/>
        <w:jc w:val="both"/>
        <w:rPr>
          <w:lang w:val="es-AR" w:eastAsia="es-AR" w:bidi="es-AR"/>
        </w:rPr>
      </w:pPr>
      <w:r>
        <w:rPr>
          <w:lang w:val="es-AR" w:eastAsia="es-AR" w:bidi="es-AR"/>
        </w:rPr>
        <w:t xml:space="preserve">Insisto, en el régimen procesal bonaerense, la falta de legitimación para obrar puede articularse como excepción previa o como defensa de fondo; y que, cuando se opta por esta última vía, no corresponde imprimirle una sustanciación separada, sino resolverla al dictarse sentencia, oportunidad en la cual el juzgador cuenta con la totalidad del material de alegación y prueba reunido en la causa (MORELLO, Augusto, SOSA, Gualberto y BERIZONCE, Roberto, Códigos Procesales Civil y Comercial de la Provincia de Buenos Aires y de la Nación, Ed. Abeledo Perrot , Librería Editora Platense, La Plata , 1990, t. IV-B, pág. 221).</w:t>
      </w:r>
    </w:p>
    <w:p>
      <w:pPr>
        <w:pStyle w:val="[Normal]"/>
        <w:spacing w:line="360" w:lineRule="auto"/>
        <w:ind w:firstLine="1134"/>
        <w:jc w:val="both"/>
        <w:rPr>
          <w:lang w:val="es-AR" w:eastAsia="es-AR" w:bidi="es-AR"/>
        </w:rPr>
      </w:pPr>
      <w:r>
        <w:rPr>
          <w:lang w:val="es-AR" w:eastAsia="es-AR" w:bidi="es-AR"/>
        </w:rPr>
        <w:t xml:space="preserve">Desde esa óptica, el hecho de que el codemandado no hubiera promovido un incidente autónomo ni requerido un pronunciamiento anticipado no privaba al sentenciante de la facultad de considerar el planteo en la decisión final.</w:t>
      </w:r>
    </w:p>
    <w:p>
      <w:pPr>
        <w:pStyle w:val="[Normal]"/>
        <w:spacing w:line="360" w:lineRule="auto"/>
        <w:ind w:firstLine="1134"/>
        <w:jc w:val="both"/>
        <w:rPr>
          <w:lang w:val="es-AR" w:eastAsia="es-AR" w:bidi="es-AR"/>
        </w:rPr>
      </w:pPr>
      <w:r>
        <w:rPr>
          <w:lang w:val="es-AR" w:eastAsia="es-AR" w:bidi="es-AR"/>
        </w:rPr>
        <w:t xml:space="preserve">En tal contexto, el reproche referido a que el juez habría “</w:t>
      </w:r>
      <w:r>
        <w:rPr>
          <w:i/>
          <w:lang w:val="es-AR" w:eastAsia="es-AR" w:bidi="es-AR"/>
        </w:rPr>
        <w:t xml:space="preserve">convertido una simple alegación en motivo autónomo de rechazo”</w:t>
      </w:r>
      <w:r>
        <w:rPr>
          <w:lang w:val="es-AR" w:eastAsia="es-AR" w:bidi="es-AR"/>
        </w:rPr>
        <w:t xml:space="preserve"> no resulta atendible. Una defensa de fondo, oportunamente articulada, puede válidamente erigirse en razón dirimente de la decisión si el magistrado la estima procedente. La circunstancia de que el planteo hubiera sido formulado bajo el rótulo de </w:t>
      </w:r>
      <w:r>
        <w:rPr>
          <w:i/>
          <w:lang w:val="es-AR" w:eastAsia="es-AR" w:bidi="es-AR"/>
        </w:rPr>
        <w:t xml:space="preserve">“consideración previa”</w:t>
      </w:r>
      <w:r>
        <w:rPr>
          <w:lang w:val="es-AR" w:eastAsia="es-AR" w:bidi="es-AR"/>
        </w:rPr>
        <w:t xml:space="preserve"> o sin la estructura formal de una excepción incidental no altera su sustancia, desde que en materia procesal prevalece la índole jurídica del planteo por sobre la denominación que le asigne la parte. Lo decisivo es que la cuestión fue introducida, resistida y finalmente resuelta dentro del marco litigioso.</w:t>
      </w:r>
    </w:p>
    <w:p>
      <w:pPr>
        <w:pStyle w:val="[Normal]"/>
        <w:spacing w:line="360" w:lineRule="auto"/>
        <w:ind w:firstLine="1134"/>
        <w:jc w:val="both"/>
        <w:rPr>
          <w:lang w:val="es-AR" w:eastAsia="es-AR" w:bidi="es-AR"/>
        </w:rPr>
      </w:pPr>
      <w:r>
        <w:rPr>
          <w:lang w:val="es-AR" w:eastAsia="es-AR" w:bidi="es-AR"/>
        </w:rPr>
        <w:t xml:space="preserve">Al respecto, la Corte Nacional ha sostenido el principio iura novit curia determina que los jueces tienen no sólo la facultad, sino también el deber de discurrir los conflictos y dirimirlos según el derecho aplicable, calificando autónomamente la realidad fáctica y subsumiéndola en las normas jurídicas con prescindencia de los fundamentos que enuncian las partes (conf. CSJN, doctrina de Fallos: 324:2946-). </w:t>
      </w:r>
    </w:p>
    <w:p>
      <w:pPr>
        <w:pStyle w:val="[Normal]"/>
        <w:spacing w:line="360" w:lineRule="auto"/>
        <w:ind w:firstLine="1134"/>
        <w:jc w:val="both"/>
        <w:rPr>
          <w:lang w:val="es-AR" w:eastAsia="es-AR" w:bidi="es-AR"/>
        </w:rPr>
      </w:pPr>
      <w:r>
        <w:rPr>
          <w:lang w:val="es-AR" w:eastAsia="es-AR" w:bidi="es-AR"/>
        </w:rPr>
        <w:t xml:space="preserve">Claro está que otra cuestión, diversa de la aquí examinada, consiste en determinar si la actora contó o no con una oportunidad procesal adecuada para contradecir eficazmente el argumento y acreditar extremos que, según afirma, desvirtuaban la defensa opuesta. Pero esa problemática remite, en rigor, al agravio siguiente y al eventual análisis del derecho de defensa en relación con la prueba sobre la extinción del usufructo. No autoriza, por sí sola, a concluir que medió incongruencia. Aquí basta con señalar que el juez no resolvió sobre una defensa inexistente ni sobre un capítulo extraño a la litis, sino sobre una cuestión expresamente incorporada por la demandada al contestar la acción.</w:t>
      </w:r>
    </w:p>
    <w:p>
      <w:pPr>
        <w:pStyle w:val="[Normal]"/>
        <w:spacing w:line="360" w:lineRule="auto"/>
        <w:ind w:firstLine="1134"/>
        <w:jc w:val="both"/>
        <w:rPr>
          <w:lang w:val="es-AR" w:eastAsia="es-AR" w:bidi="es-AR"/>
        </w:rPr>
      </w:pPr>
      <w:r>
        <w:rPr>
          <w:lang w:val="es-AR" w:eastAsia="es-AR" w:bidi="es-AR"/>
        </w:rPr>
        <w:t xml:space="preserve">A mayor abundamiento, la jurisprudencia provincial ha dicho que: </w:t>
      </w:r>
      <w:r>
        <w:rPr>
          <w:i/>
          <w:lang w:val="es-AR" w:eastAsia="es-AR" w:bidi="es-AR"/>
        </w:rPr>
        <w:t xml:space="preserve">"La existencia de un usufructo vitalicio restaría habilitación al nudo propietario para demandar por indemnización de daños relacionados con la eventual privación del uso y goce del inmueble. Si así se evidenciara esa carencia de legitimación, el juez se encuentra facultado para declararla de oficio. Versando la cuestión, sobre un presupuesto esencial de la acción, la investigación acerca de su titularidad, además de constituir un tema de análisis previo, configura materia cuyo examen debe ser abordado de oficio por la jurisdicción, dado que la calidad de sujeto de los derechos que se esgrimen, ya para demandar o para contradecir, es imprescindible para el dictado de un pronunciamiento válido"</w:t>
      </w:r>
      <w:r>
        <w:rPr>
          <w:lang w:val="es-AR" w:eastAsia="es-AR" w:bidi="es-AR"/>
        </w:rPr>
        <w:t xml:space="preserve"> (Cámara Segunda de Apelaciones en lo Civil y Comercial de La Plata, Sala II, </w:t>
      </w:r>
      <w:r>
        <w:rPr>
          <w:i/>
          <w:lang w:val="es-AR" w:eastAsia="es-AR" w:bidi="es-AR"/>
        </w:rPr>
        <w:t xml:space="preserve">"DIONISIO MARCELA CLAUDIA c/GONZALEZ ROBERTO s/GONZALEZ ROBERTO"</w:t>
      </w:r>
      <w:r>
        <w:rPr>
          <w:lang w:val="es-AR" w:eastAsia="es-AR" w:bidi="es-AR"/>
        </w:rPr>
        <w:t xml:space="preserve">, CC0202 LP 107928 RSD-184-7 S, 27/09/2007).</w:t>
      </w:r>
    </w:p>
    <w:p>
      <w:pPr>
        <w:pStyle w:val="[Normal]"/>
        <w:spacing w:line="360" w:lineRule="auto"/>
        <w:ind w:firstLine="1134"/>
        <w:jc w:val="both"/>
        <w:rPr>
          <w:lang w:val="es-AR" w:eastAsia="es-AR" w:bidi="es-AR"/>
        </w:rPr>
      </w:pPr>
      <w:r>
        <w:rPr>
          <w:lang w:val="es-AR" w:eastAsia="es-AR" w:bidi="es-AR"/>
        </w:rPr>
        <w:t xml:space="preserve">Este precedente refuerza de manera directa la improcedencia del agravio por supuesta incongruencia, porque desplaza la premisa sobre la que la actora construye su queja. En efecto, si la jurisprudencia provincial reconoce que la existencia de un usufructo vitalicio puede privar al nudo propietario de legitimación para reclamar daños vinculados con el uso y goce del inmueble, y que esa carencia de legitimación constituye un presupuesto esencial de la acción cuyo examen incluso puede ser abordado de oficio por la jurisdicción, entonces mal puede sostenerse que el juez haya incurrido en incongruencia por haber tratado ese punto al sentenciar. La congruencia se quiebra cuando el órgano judicial decide sobre una cuestión ajena al objeto litigioso o introduce un fundamento extraño al debate; pero no cuando examina un presupuesto de validez de la pretensión que hace a la aptitud misma del actor para obtener un pronunciamiento de mérito.</w:t>
      </w:r>
    </w:p>
    <w:p>
      <w:pPr>
        <w:pStyle w:val="[Normal]"/>
        <w:spacing w:line="360" w:lineRule="auto"/>
        <w:ind w:firstLine="1134"/>
        <w:jc w:val="both"/>
        <w:rPr>
          <w:lang w:val="es-AR" w:eastAsia="es-AR" w:bidi="es-AR"/>
        </w:rPr>
      </w:pPr>
      <w:r>
        <w:rPr>
          <w:lang w:val="es-AR" w:eastAsia="es-AR" w:bidi="es-AR"/>
        </w:rPr>
        <w:t xml:space="preserve">En suma, no advierto en este tramo del fallo apartamiento del principio de congruencia ni decisión extraña al contradictorio. La queja se asienta en la idea de que toda falta de legitimación debe necesariamente canalizarse y sustanciarse como excepción previa, pero tal postulado no se compadece con la regulación del CPCCBA ni con la caracterización dogmática del instituto. </w:t>
      </w:r>
    </w:p>
    <w:p>
      <w:pPr>
        <w:pStyle w:val="[Normal]"/>
        <w:spacing w:line="360" w:lineRule="auto"/>
        <w:ind w:firstLine="1134"/>
        <w:jc w:val="both"/>
        <w:rPr>
          <w:lang w:val="es-AR" w:eastAsia="es-AR" w:bidi="es-AR"/>
        </w:rPr>
      </w:pPr>
      <w:r>
        <w:rPr>
          <w:lang w:val="es-AR" w:eastAsia="es-AR" w:bidi="es-AR"/>
        </w:rPr>
        <w:t xml:space="preserve">III.- El agravio relativo a la </w:t>
      </w:r>
      <w:r>
        <w:rPr>
          <w:color w:val="000000"/>
          <w:lang w:val="es-AR" w:eastAsia="es-AR" w:bidi="es-AR"/>
        </w:rPr>
        <w:t xml:space="preserve">denegación implícita de prueba y afectación del derecho de defensa </w:t>
      </w:r>
      <w:r>
        <w:rPr>
          <w:lang w:val="es-AR" w:eastAsia="es-AR" w:bidi="es-AR"/>
        </w:rPr>
        <w:t xml:space="preserve">no ha de tener mejor suerte.</w:t>
      </w:r>
    </w:p>
    <w:p>
      <w:pPr>
        <w:pStyle w:val="[Normal]"/>
        <w:spacing w:line="360" w:lineRule="auto"/>
        <w:ind w:firstLine="1134"/>
        <w:jc w:val="both"/>
        <w:rPr>
          <w:lang w:val="es-AR" w:eastAsia="es-AR" w:bidi="es-AR"/>
        </w:rPr>
      </w:pPr>
      <w:r>
        <w:rPr>
          <w:lang w:val="es-AR" w:eastAsia="es-AR" w:bidi="es-AR"/>
        </w:rPr>
        <w:t xml:space="preserve">Sentado -como quedó dicho al tratar la queja precedente- que la falta de legitimación activa no fue incorporada oficiosamente por el sentenciante sino introducida por el codemandado al contestar la demanda, pierde sustento la afirmación de la recurrente en cuanto atribuye al fallo una denegación implícita de prueba derivada de la súbita irrupción del tema del usufructo al momento de sentenciar. 	</w:t>
        <w:br w:type="textWrapping"/>
      </w:r>
      <w:r>
        <w:rPr>
          <w:lang w:val="es-AR" w:eastAsia="es-AR" w:bidi="es-AR"/>
        </w:rPr>
        <w:t xml:space="preserve"> 	En efecto, del responde surge con claridad que la demandada cuestionó la aptitud del actor para reclamar, señalando que éste sólo acreditaba la cotitularidad de la nuda propiedad y que no se había demostrado la extinción del usufructo, ni por convención ni por fallecimiento de su titular. La sentencia, a su turno, resolvió sobre esa misma base, destacando que no se acreditó en autos la extinción del derecho real de usufructo ni la existencia de otro título que habilitara al accionante para explotar la parcela y percibir su producido. De ello se sigue que no hubo, pues, incorporación sorpresiva de un hecho nuevo en la sentencia, sino valoración de una defensa de fondo que integró el contradictorio desde la traba de la litis.</w:t>
      </w:r>
    </w:p>
    <w:p>
      <w:pPr>
        <w:pStyle w:val="[Normal]"/>
        <w:spacing w:line="360" w:lineRule="auto"/>
        <w:ind w:firstLine="1134"/>
        <w:jc w:val="both"/>
        <w:rPr>
          <w:lang w:val="es-AR" w:eastAsia="es-AR" w:bidi="es-AR"/>
        </w:rPr>
      </w:pPr>
      <w:r>
        <w:rPr>
          <w:lang w:val="es-AR" w:eastAsia="es-AR" w:bidi="es-AR"/>
        </w:rPr>
        <w:t xml:space="preserve">Bajo ese encuadre, tampoco puede compartirse que la actora hubiera carecido de oportunidad procesal para acreditar el hecho extintivo que ahora invoca. Ello así, pues la posibilidad de incorporar documental relativa a hechos no considerados en la demanda no dependía, en el caso, de una habilitación formal del juzgado, sino de la propia previsión legal contenida en el art. 333 del CPCCBA, que faculta al actor a agregar, dentro de los cinco días de notificada la providencia respectiva, la prueba documental referente a los hechos introducidos en el responde, sin otra sustanciación. </w:t>
      </w:r>
    </w:p>
    <w:p>
      <w:pPr>
        <w:pStyle w:val="[Normal]"/>
        <w:spacing w:line="360" w:lineRule="auto"/>
        <w:ind w:firstLine="1134"/>
        <w:jc w:val="both"/>
        <w:rPr>
          <w:lang w:val="es-AR" w:eastAsia="es-AR" w:bidi="es-AR"/>
        </w:rPr>
      </w:pPr>
      <w:r>
        <w:rPr>
          <w:lang w:val="es-AR" w:eastAsia="es-AR" w:bidi="es-AR"/>
        </w:rPr>
        <w:t xml:space="preserve">Desde esa perspectiva, una vez que la contraria cuestionó la legitimación del accionante sobre la base de la subsistencia del usufructo, incumbía a éste activar oportunamente la facultad que la ley le confería y acompañar, en su caso, la partida de defunción que ahora invoca como decisiva. A ello se suma la regla general del art. 375 del mismo ordenamiento ritual, conforme a la cual cada parte debe probar el presupuesto de hecho de la norma que invoca como fundamento de su pretensión, defensa o excepción. Sin embargo, la actitud procesal asumida por el aquí apelante fue pasiva en relación a tal extremo.</w:t>
      </w:r>
    </w:p>
    <w:p>
      <w:pPr>
        <w:pStyle w:val="[Normal]"/>
        <w:spacing w:line="360" w:lineRule="auto"/>
        <w:ind w:firstLine="1134"/>
        <w:jc w:val="both"/>
        <w:rPr>
          <w:color w:val="000000"/>
          <w:lang w:val="es-AR" w:eastAsia="es-AR" w:bidi="es-AR"/>
        </w:rPr>
      </w:pPr>
      <w:r>
        <w:rPr>
          <w:lang w:val="es-AR" w:eastAsia="es-AR" w:bidi="es-AR"/>
        </w:rPr>
        <w:t xml:space="preserve">Aun si se admitiera, en la tesis más favorable a la recurrente, que faltó una providencia expresa que anunciara esa posibilidad, tampoco podría derivarse de ello, sin más, una lesión actual al derecho de defensa. En efecto, el régimen de nulidades procesales exige la denuncia tempestiva del vicio, la demostración concreta del perjuicio y la promoción del incidente pertinente dentro de los cinco días de conocido el acto, so pena de consentimiento tácito (arts. 169, 170 y 172 del CPCCBA). Nada de ello ocurrió en autos. Antes bien, la parte consintió la secuela del trámite y dejó precluir toda objeción con el llamamiento de autos para sentencia, desde cuyo dictado quedó cerrada toda discusión y vedada la producción de nueva prueba (art. 482 CPCCBA). Por ello, no cabe ahora erigir en agravio recursivo lo que debió ser oportunamente articulado como irregularidad procesal susceptible de inmediata reparación.	</w:t>
        <w:br w:type="textWrapping"/>
      </w:r>
      <w:r>
        <w:rPr>
          <w:lang w:val="es-AR" w:eastAsia="es-AR" w:bidi="es-AR"/>
        </w:rPr>
        <w:t xml:space="preserve"> 	Sobre la referida cuestión, </w:t>
      </w:r>
      <w:r>
        <w:rPr>
          <w:color w:val="000000"/>
          <w:lang w:val="es-AR" w:eastAsia="es-AR" w:bidi="es-AR"/>
        </w:rPr>
        <w:t xml:space="preserve">el art. 170 del CPCCBA establece expresamente que: </w:t>
      </w:r>
      <w:r>
        <w:rPr>
          <w:i/>
          <w:color w:val="000000"/>
          <w:lang w:val="es-AR" w:eastAsia="es-AR" w:bidi="es-AR"/>
        </w:rPr>
        <w:t xml:space="preserve">"La nulidad no podrá ser declarada cuando el acto haya sido consentido aunque fuere tácitamente, por la parte interesada en la declaración".</w:t>
      </w:r>
    </w:p>
    <w:p>
      <w:pPr>
        <w:pStyle w:val="[Normal]"/>
        <w:spacing w:line="360" w:lineRule="auto"/>
        <w:ind w:firstLine="1134"/>
        <w:jc w:val="both"/>
        <w:rPr>
          <w:lang w:val="es-AR" w:eastAsia="es-AR" w:bidi="es-AR"/>
        </w:rPr>
      </w:pPr>
      <w:r>
        <w:rPr>
          <w:color w:val="000000"/>
          <w:lang w:val="es-AR" w:eastAsia="es-AR" w:bidi="es-AR"/>
        </w:rPr>
        <w:t xml:space="preserve">En consonancia con lo expuesto, la jurisprudencia de los tribunales provinciales se ha expedido en los siguientes términos: "</w:t>
      </w:r>
      <w:r>
        <w:rPr>
          <w:i/>
          <w:color w:val="000000"/>
          <w:lang w:val="es-AR" w:eastAsia="es-AR" w:bidi="es-AR"/>
        </w:rPr>
        <w:t xml:space="preserve">Las nulidades de procedimiento son relativas, es decir convalidables por el consentimiento expreso o tácito de los interesados y de interpretación restrictiva, reservándose la sanción como "última razón frente a la existencia de una efectiva indefensión"</w:t>
      </w:r>
      <w:r>
        <w:rPr>
          <w:color w:val="000000"/>
          <w:lang w:val="es-AR" w:eastAsia="es-AR" w:bidi="es-AR"/>
        </w:rPr>
        <w:t xml:space="preserve"> (CC0002 LM 687 RSI-167-5 I 22/11/2005 Juez IGLESIAS BERRONDO (SD) Carátula: Fisco de la Provincia de Buenos Aires c/Szyber Raquel Zulema s/Apremio, Magistrados Votantes: Rodríguez-Iglesias Berrondo, Tribunal Origen: JC0100LM). Criterio que fuera adoptado por este Tribunal en la causa n° 3359, res. de fecha 14/5/2019.</w:t>
      </w:r>
      <w:r>
        <w:rPr>
          <w:lang w:val="es-AR" w:eastAsia="es-AR" w:bidi="es-AR"/>
        </w:rPr>
        <w:br w:type="textWrapping"/>
      </w:r>
      <w:r>
        <w:rPr>
          <w:lang w:val="es-AR" w:eastAsia="es-AR" w:bidi="es-AR"/>
        </w:rPr>
        <w:t xml:space="preserve"> 	Y en relación puntual al carácter preclusivo del llanamiento de autos, este Tribunal ha sostenido que este acto procesal de autos produce el cierre de la etapa de instrucción del proceso, quedando agotada para las partes la posibilidad de aportar elementos convictivos y precluido el debate sobre cuestiones litigiosas, salvo los poderes del juez para dictar ex oficio las medidas del art. 36, inc. 2°, del Código ritual (Cámara de Apelaciones en lo Civil y Comercial de Pergamino, Expte. N° 4576 </w:t>
      </w:r>
      <w:r>
        <w:rPr>
          <w:i/>
          <w:lang w:val="es-AR" w:eastAsia="es-AR" w:bidi="es-AR"/>
        </w:rPr>
        <w:t xml:space="preserve">"Furnari, Raúl Horacio y otros c/ Clínica Centro S.A. s/ Cobro sumario sumas de dinero"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tal sentido se ha dicho que ...</w:t>
      </w:r>
      <w:r>
        <w:rPr>
          <w:i/>
          <w:lang w:val="es-AR" w:eastAsia="es-AR" w:bidi="es-AR"/>
        </w:rPr>
        <w:t xml:space="preserve">"el llamamiento de autos para sentencia cierra en líneas generales la posibilidad de completar actuaciones procesalmente preteridas, no pudiendo por lo demás este Tribunal de Alzada atender planteos no propuestos al magistrado de la anterior instancia, pues esta segunda no constituye una reedición de la anterior sino un marco de análisis de las decisiones allí tomadas en orden a los agravios presentados (art. 272 y concds del C.P.C.C.)" </w:t>
      </w:r>
      <w:r>
        <w:rPr>
          <w:lang w:val="es-AR" w:eastAsia="es-AR" w:bidi="es-AR"/>
        </w:rPr>
        <w:t xml:space="preserve">(CC0001 QL 12661 RSD-38-10 S 24-6-2010 , Juez BUSTEROS (SD) JUBA B2902733).-</w:t>
      </w:r>
    </w:p>
    <w:p>
      <w:pPr>
        <w:pStyle w:val="[Normal]"/>
        <w:spacing w:line="360" w:lineRule="auto"/>
        <w:ind w:firstLine="1134"/>
        <w:jc w:val="both"/>
        <w:rPr>
          <w:lang w:val="es-AR" w:eastAsia="es-AR" w:bidi="es-AR"/>
        </w:rPr>
      </w:pPr>
      <w:r>
        <w:rPr>
          <w:lang w:val="es-AR" w:eastAsia="es-AR" w:bidi="es-AR"/>
        </w:rPr>
        <w:t xml:space="preserve">Recapitulando, era precisamente la propia actora quien debía asumir la carga probatoria de la extinción del usufructo. Nótese que el título acompañado con la demanda -según lo valoró el a quo- acreditaba que el inmueble había sido donado por la madre del actor, con reserva de usufructo vitalicio en favor de aquélla. A partir de allí, si el accionante pretendía sostener que, pese a esa reserva, revestía legitimación plena para reclamar por los daños derivados de la explotación del predio, incumbía a su parte demostrar el hecho extintivo del usufructo o, en su defecto, otro título actual que lo habilitara al uso y goce de la parcela. La sentencia, entonces, no se asentó sobre un </w:t>
      </w:r>
      <w:r>
        <w:rPr>
          <w:i/>
          <w:lang w:val="es-AR" w:eastAsia="es-AR" w:bidi="es-AR"/>
        </w:rPr>
        <w:t xml:space="preserve">"hecho inexistente"</w:t>
      </w:r>
      <w:r>
        <w:rPr>
          <w:lang w:val="es-AR" w:eastAsia="es-AR" w:bidi="es-AR"/>
        </w:rPr>
        <w:t xml:space="preserve">, sino sobre la ausencia de acreditación en autos del presupuesto fáctico que el actor necesitaba para neutralizar la defensa opuesta.</w:t>
      </w:r>
    </w:p>
    <w:p>
      <w:pPr>
        <w:pStyle w:val="[Normal]"/>
        <w:spacing w:line="360" w:lineRule="auto"/>
        <w:ind w:firstLine="1134"/>
        <w:jc w:val="both"/>
        <w:rPr>
          <w:lang w:val="es-AR" w:eastAsia="es-AR" w:bidi="es-AR"/>
        </w:rPr>
      </w:pPr>
      <w:r>
        <w:rPr>
          <w:lang w:val="es-AR" w:eastAsia="es-AR" w:bidi="es-AR"/>
        </w:rPr>
        <w:t xml:space="preserve">Desde esa perspectiva, la crítica recursiva procura achacar sin éxito al órgano jurisdiccional una omisión probatoria que incumbía a la propia parte. La falta de sustanciación incidental de la defensa no equivale, por sí sola, a privación del derecho de prueba. Es que cuando la falta de legitimación se articula como defensa de fondo no corresponde darle trámite autónomo, sino diferir su decisión para la sentencia definitiva, oportunidad en la que el juez cuenta con la totalidad del material alegatorio y probatorio reunido en el expediente. Pero ello no deja inerme al actor ni releva a las partes de satisfacer oportunamente sus cargas de alegación y prueba; antes bien, impone a quien pretende desvirtuar esa defensa la carga de incorporar tempestivamente los elementos que la neutralicen.</w:t>
      </w:r>
    </w:p>
    <w:p>
      <w:pPr>
        <w:pStyle w:val="[Normal]"/>
        <w:spacing w:line="360" w:lineRule="auto"/>
        <w:ind w:firstLine="1134"/>
        <w:jc w:val="both"/>
        <w:rPr>
          <w:lang w:val="es-AR" w:eastAsia="es-AR" w:bidi="es-AR"/>
        </w:rPr>
      </w:pPr>
      <w:r>
        <w:rPr>
          <w:lang w:val="es-AR" w:eastAsia="es-AR" w:bidi="es-AR"/>
        </w:rPr>
        <w:t xml:space="preserve">En este marco, la partida de defunción acompañada recién con el memorial no sólo no alcanza para desvirtuar la conclusión precedentemente expuesta, sino que tampoco puede ser ponderada en esta instancia de alzada como elemento apto para revisar el acierto del fallo. </w:t>
      </w:r>
    </w:p>
    <w:p>
      <w:pPr>
        <w:pStyle w:val="[Normal]"/>
        <w:spacing w:line="360" w:lineRule="auto"/>
        <w:ind w:firstLine="1134"/>
        <w:jc w:val="both"/>
        <w:rPr>
          <w:lang w:val="es-AR" w:eastAsia="es-AR" w:bidi="es-AR"/>
        </w:rPr>
      </w:pPr>
      <w:r>
        <w:rPr>
          <w:lang w:val="es-AR" w:eastAsia="es-AR" w:bidi="es-AR"/>
        </w:rPr>
        <w:t xml:space="preserve">Ello así, pues no se trata de una prueba frustrada por decisión del tribunal, sino de un instrumento preexistente, referido a un hecho ocurrido -según la propia apelante- el 24/8/2012, que bien pudo y debió ser incorporado oportunamente al proceso una vez introducida la cuestión en el responde. Su agregación recién al fundar agravios importa, entonces, una presentación extemporánea, inadmisible para integrar retrospectivamente el material de conocimiento sobre cuya base debía pronunciarse el juez de grado. </w:t>
      </w:r>
    </w:p>
    <w:p>
      <w:pPr>
        <w:pStyle w:val="[Normal]"/>
        <w:spacing w:line="360" w:lineRule="auto"/>
        <w:ind w:firstLine="1134"/>
        <w:jc w:val="both"/>
        <w:rPr>
          <w:lang w:val="es-AR" w:eastAsia="es-AR" w:bidi="es-AR"/>
        </w:rPr>
      </w:pPr>
      <w:r>
        <w:rPr>
          <w:lang w:val="es-AR" w:eastAsia="es-AR" w:bidi="es-AR"/>
        </w:rPr>
        <w:t xml:space="preserve">La alzada, en efecto, no está instituida para subsanar omisiones probatorias imputables a la parte ni para valorar documental tardíamente allegada, sino para revisar la juridicidad del pronunciamiento apelado a partir de las constancias regular y tempestivamente incorporadas a la causa. De allí que no pueda extraerse de esa presentación tardía ni un dato apto para revertir la decisión recurrida ni, menos aún, la demostración retrospectiva de una lesión al derecho de defensa.</w:t>
      </w:r>
    </w:p>
    <w:p>
      <w:pPr>
        <w:pStyle w:val="[Normal]"/>
        <w:spacing w:line="360" w:lineRule="auto"/>
        <w:ind w:firstLine="1134"/>
        <w:jc w:val="both"/>
        <w:rPr>
          <w:lang w:val="es-AR" w:eastAsia="es-AR" w:bidi="es-AR"/>
        </w:rPr>
      </w:pPr>
      <w:r>
        <w:rPr>
          <w:lang w:val="es-AR" w:eastAsia="es-AR" w:bidi="es-AR"/>
        </w:rPr>
        <w:t xml:space="preserve">En suma, no advierto configurada la denegación implícita de prueba que se denuncia, ni afectación concreta del derecho de defensa en juicio. Lo que revela el expediente es, antes bien, que la cuestión relativa a la subsistencia del usufructo quedó introducida en tiempo oportuno por la demandada, que el ordenamiento procesal proveía a la actora herramientas adecuadas para responder documentalmente a ese planteo, y que, sin embargo, la interesada no acreditó en la etapa pertinente el hecho extintivo que ahora invoca como decisivo, por lo que propongo desestimar también este segundo segmento de la crítica recursiva.</w:t>
      </w:r>
    </w:p>
    <w:p>
      <w:pPr>
        <w:pStyle w:val="[Normal]"/>
        <w:spacing w:line="360" w:lineRule="auto"/>
        <w:ind w:firstLine="1134"/>
        <w:jc w:val="both"/>
        <w:rPr>
          <w:lang w:val="es-AR" w:eastAsia="es-AR" w:bidi="es-AR"/>
        </w:rPr>
      </w:pPr>
      <w:r>
        <w:rPr>
          <w:lang w:val="es-AR" w:eastAsia="es-AR" w:bidi="es-AR"/>
        </w:rPr>
        <w:t xml:space="preserve">IV.- Por último, abordaré el agravio relativo a la supuesta arbitrariedad por contradicción interna en el que habría incurrido el juez de grado al tener por no controvertido que el trigo sembrado en la parcela del actor sufrió un daño parcial por deriva de fumigación, y concluir no obstante en el rechazo íntegro de la demanda por una razón que -según afirma- resultaría ajena al daño acreditado y a la prueba producida. En concreto, el recurrente reprocha al a quo haber prescindido del examen del acta notarial y de la pericia agronómica acompañada, incurriendo así en falta de motivación suficiente. </w:t>
      </w:r>
    </w:p>
    <w:p>
      <w:pPr>
        <w:pStyle w:val="[Normal]"/>
        <w:spacing w:line="360" w:lineRule="auto"/>
        <w:ind w:firstLine="1134"/>
        <w:jc w:val="both"/>
        <w:rPr>
          <w:lang w:val="es-AR" w:eastAsia="es-AR" w:bidi="es-AR"/>
        </w:rPr>
      </w:pPr>
      <w:r>
        <w:rPr>
          <w:lang w:val="es-AR" w:eastAsia="es-AR" w:bidi="es-AR"/>
        </w:rPr>
        <w:t xml:space="preserve">La crítica, empero, no resulta atendible. En efecto, no se advierte en la sentencia la contradicción lógica que se le atribuye. Lo que el pronunciamiento expresa es que, aun cuando no mediara controversia acerca de la existencia de un daño parcial en el cultivo derivado de la fumigación practicada en el predio lindero, correspondía abordar en primer término la defensa de falta de legitimación activa opuesta por el codemandado Rasuk. Y, tras desarrollar ese análisis, concluye que José Luis Testa sólo acreditó la nuda propiedad del inmueble, con reserva de usufructo vitalicio en favor de su madre, sin haber demostrado en autos la extinción de ese derecho real ni otro título que lo habilitara a la explotación de la parcela y al producido del cultivo. </w:t>
      </w:r>
    </w:p>
    <w:p>
      <w:pPr>
        <w:pStyle w:val="[Normal]"/>
        <w:spacing w:line="360" w:lineRule="auto"/>
        <w:ind w:firstLine="1134"/>
        <w:jc w:val="both"/>
        <w:rPr>
          <w:lang w:val="es-AR" w:eastAsia="es-AR" w:bidi="es-AR"/>
        </w:rPr>
      </w:pPr>
      <w:r>
        <w:rPr>
          <w:lang w:val="es-AR" w:eastAsia="es-AR" w:bidi="es-AR"/>
        </w:rPr>
        <w:t xml:space="preserve">Sobre esa base, el juez rechazó la acción. De tal manera, la sentencia no afirma simultáneamente dos proposiciones incompatibles; antes bien, razona sobre planos diversos y sucesivos: por un lado, la eventual existencia del daño; por otro, la aptitud jurídica del accionante para reclamar su reparación.</w:t>
      </w:r>
    </w:p>
    <w:p>
      <w:pPr>
        <w:pStyle w:val="[Normal]"/>
        <w:spacing w:line="360" w:lineRule="auto"/>
        <w:ind w:firstLine="1134"/>
        <w:jc w:val="both"/>
        <w:rPr>
          <w:lang w:val="es-AR" w:eastAsia="es-AR" w:bidi="es-AR"/>
        </w:rPr>
      </w:pPr>
      <w:r>
        <w:rPr>
          <w:lang w:val="es-AR" w:eastAsia="es-AR" w:bidi="es-AR"/>
        </w:rPr>
        <w:t xml:space="preserve">La objeción de la apelante pasa por alto, entonces, una distinción elemental: la acreditación del daño y de su nexo causal no suple la falta de legitimación activa. La legitimatio ad causam constituye un presupuesto sustancial de la pretensión; por ello, aun cuando el menoscabo se tuviera por verificado, la demanda debía igualmente rechazarse si quien acciona no revestía, según lo decidido, la calidad jurídica necesaria para reclamar por ese daño. No hay allí arbitrariedad, sino una secuencia lógica de análisis: primero se establece si quien demanda es el sujeto habilitado por la ley para pretender; sólo superado ese umbral corresponde avanzar al examen pleno de la procedencia y extensión del reclamo resarcitorio.</w:t>
      </w:r>
    </w:p>
    <w:p>
      <w:pPr>
        <w:pStyle w:val="[Normal]"/>
        <w:spacing w:line="360" w:lineRule="auto"/>
        <w:ind w:firstLine="1134"/>
        <w:jc w:val="both"/>
        <w:rPr>
          <w:lang w:val="es-AR" w:eastAsia="es-AR" w:bidi="es-AR"/>
        </w:rPr>
      </w:pPr>
      <w:r>
        <w:rPr>
          <w:lang w:val="es-AR" w:eastAsia="es-AR" w:bidi="es-AR"/>
        </w:rPr>
        <w:t xml:space="preserve">Tampoco resulta convincente el reproche relativo a la omisión de valorar el acta notarial y la pericia del ingeniero Lavilla. Como reiteradamente se ha señalado, los jueces no están obligados a ponderar una por una todas las pruebas producidas, sino únicamente aquellas que estimen conducentes y decisivas para la solución del litigio. La propia sentencia apelada recuerda expresamente ese criterio y anuncia que sólo tratará las argumentaciones y pruebas susceptibles de incidir en la decisión final del pleito, prescindiendo de las inconducentes. Desde ese enfoque, una vez que el juzgador tuvo por dirimente la falta de legitimación activa del actor, la consideración exhaustiva de los elementos enderezados a demostrar la extensión del daño o su cuantificación perdió aptitud decisoria, pues aun su plena eficacia no alteraba la conclusión alcanzada sobre la improponibilidad subjetiva de la pretensión.</w:t>
      </w:r>
    </w:p>
    <w:p>
      <w:pPr>
        <w:pStyle w:val="[Normal]"/>
        <w:spacing w:line="360" w:lineRule="auto"/>
        <w:ind w:firstLine="1134"/>
        <w:jc w:val="both"/>
        <w:rPr>
          <w:lang w:val="es-AR" w:eastAsia="es-AR" w:bidi="es-AR"/>
        </w:rPr>
      </w:pPr>
      <w:r>
        <w:rPr>
          <w:lang w:val="es-AR" w:eastAsia="es-AR" w:bidi="es-AR"/>
        </w:rPr>
        <w:t xml:space="preserve">Dicho con otras palabras: el acta notarial y la pericia agronómica podían ser relevantes para establecer la existencia, magnitud y causa del perjuicio en el cultivo; pero no eran idóneas para revertir el obstáculo previo que el a quo reputó configurado en orden a la legitimación del accionante. Y si ello es así, mal puede sostenerse que su falta de tratamiento particularizado torne arbitraria la sentencia, desde que la omisión que se denuncia no recae sobre prueba decisiva para el fundamento finalmente adoptado, sino sobre elementos atinentes al mérito sustancial del reclamo, que quedaron desplazados por una razón anterior y lógicamente prevalente.</w:t>
      </w:r>
    </w:p>
    <w:p>
      <w:pPr>
        <w:pStyle w:val="[Normal]"/>
        <w:spacing w:line="360" w:lineRule="auto"/>
        <w:ind w:firstLine="1134"/>
        <w:jc w:val="both"/>
        <w:rPr>
          <w:lang w:val="es-AR" w:eastAsia="es-AR" w:bidi="es-AR"/>
        </w:rPr>
      </w:pPr>
      <w:r>
        <w:rPr>
          <w:lang w:val="es-AR" w:eastAsia="es-AR" w:bidi="es-AR"/>
        </w:rPr>
        <w:t xml:space="preserve">La propia contestación de agravios de la demandada puso adecuadamente de resalto esta idea al señalar que el rechazo de la demanda no obedeció a que el daño no hubiera podido existir, sino a que el actor no acreditó ser titular del derecho que lo habilitaba a reclamarlo. Más allá del énfasis argumental de esa pieza, lo cierto es que tal respuesta se compadece con la estructura misma del pronunciamiento apelado. Por ello, la alegada contradicción interna no pasa de ser, en rigor, una discrepancia de la recurrente -a mi juicio, sin sustento en el ordenamiento jurídico vigente- con la prioridad lógica que el a quo asignó al tratamiento de la legitimación activa.</w:t>
      </w:r>
    </w:p>
    <w:p>
      <w:pPr>
        <w:pStyle w:val="[Normal]"/>
        <w:spacing w:line="360" w:lineRule="auto"/>
        <w:ind w:firstLine="1134"/>
        <w:jc w:val="both"/>
        <w:rPr>
          <w:lang w:val="es-AR" w:eastAsia="es-AR" w:bidi="es-AR"/>
        </w:rPr>
      </w:pPr>
      <w:r>
        <w:rPr>
          <w:lang w:val="es-AR" w:eastAsia="es-AR" w:bidi="es-AR"/>
        </w:rPr>
        <w:t xml:space="preserve">Desde esta perspectiva, el agravio no demuestra ausencia de motivación suficiente en los términos de los arts. 163 inc. 5 y 384 del CPCCBA. La sentencia exterioriza con claridad la razón jurídica por la cual, aun partiendo de la existencia de un daño parcial en el trigo, no correspondía acoger la pretensión deducida por el actor: la falta de acreditación de su aptitud jurídica para reclamar por los daños en la cosecha mientras subsistiera el usufructo vitalicio reservado. Que la apelante no comparta esa conclusión no la transforma, sin más, en arbitraria.</w:t>
      </w:r>
    </w:p>
    <w:p>
      <w:pPr>
        <w:pStyle w:val="[Normal]"/>
        <w:spacing w:line="360" w:lineRule="auto"/>
        <w:ind w:firstLine="1134"/>
        <w:jc w:val="both"/>
        <w:rPr>
          <w:lang w:val="es-AR" w:eastAsia="es-AR" w:bidi="es-AR"/>
        </w:rPr>
      </w:pPr>
      <w:r>
        <w:rPr>
          <w:lang w:val="es-AR" w:eastAsia="es-AR" w:bidi="es-AR"/>
        </w:rPr>
        <w:t xml:space="preserve">En suma, no advierto contradicción invalidante entre el reconocimiento de un daño parcial y el rechazo de la demanda por falta de legitimación activa. Se trata de cuestiones distintas, ubicadas en planos también distintos del razonamiento judicial. La primera concierne a la materialidad del hecho dañoso; la segunda, a la aptitud del sujeto que acciona para pretender su reparación. Siendo esta última una condición previa y dirimente, el análisis de las restantes pruebas de mérito quedó razonablemente desplazado. En consecuencia, propongo desestimar también este segmento de la crítica recursiva.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color w:val="000000"/>
          <w:lang w:val="es-AR" w:eastAsia="es-AR" w:bidi="es-AR"/>
        </w:rPr>
        <w:t xml:space="preserve">A la misma cuestión el señor Juez</w:t>
      </w:r>
      <w:r>
        <w:rPr>
          <w:lang w:val="es-AR" w:eastAsia="es-AR" w:bidi="es-AR"/>
        </w:rPr>
        <w:t xml:space="preserve"> Renato Santore</w:t>
      </w:r>
      <w:r>
        <w:rPr>
          <w:color w:val="000000"/>
          <w:lang w:val="es-AR" w:eastAsia="es-AR" w:bidi="es-AR"/>
        </w:rPr>
        <w:t xml:space="preserv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w:t>
      </w:r>
      <w:r>
        <w:rPr>
          <w:lang w:val="es-AR" w:eastAsia="es-AR" w:bidi="es-AR"/>
        </w:rPr>
        <w:t xml:space="preserve">Graciela Scaraffia</w:t>
      </w:r>
      <w:r>
        <w:rPr>
          <w:color w:val="000000"/>
          <w:lang w:val="es-AR" w:eastAsia="es-AR" w:bidi="es-AR"/>
        </w:rPr>
        <w:t xml:space="preserv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w:t>
      </w:r>
    </w:p>
    <w:p>
      <w:pPr>
        <w:pStyle w:val="[Normal]"/>
        <w:spacing w:line="360" w:lineRule="auto"/>
        <w:ind w:firstLine="1134"/>
        <w:jc w:val="both"/>
        <w:rPr>
          <w:color w:val="000000"/>
          <w:lang w:val="es-AR" w:eastAsia="es-AR" w:bidi="es-AR"/>
        </w:rPr>
      </w:pPr>
      <w:r>
        <w:rPr>
          <w:color w:val="000000"/>
          <w:lang w:val="es-AR" w:eastAsia="es-AR" w:bidi="es-AR"/>
        </w:rPr>
        <w:t xml:space="preserve">1) Rechazar al recurso de apelación interpuesto por la parte actora, confirmando en un todo el pronunciamiento recurrido.</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a la parte actora (art. 68/9 del CPCCBA).</w:t>
      </w:r>
    </w:p>
    <w:p>
      <w:pPr>
        <w:pStyle w:val="[Normal]"/>
        <w:spacing w:line="360" w:lineRule="auto"/>
        <w:ind w:firstLine="1134"/>
        <w:jc w:val="both"/>
        <w:rPr>
          <w:color w:val="000000"/>
          <w:lang w:val="es-AR" w:eastAsia="es-AR" w:bidi="es-AR"/>
        </w:rPr>
      </w:pPr>
      <w:r>
        <w:rPr>
          <w:color w:val="000000"/>
          <w:lang w:val="es-AR" w:eastAsia="es-AR" w:bidi="es-AR"/>
        </w:rPr>
        <w:t xml:space="preserve">3) Diferir la regulación de honorarios para su oportunidad respectiva (art. 31 de la ley 14.967).</w:t>
      </w:r>
    </w:p>
    <w:p>
      <w:pPr>
        <w:pStyle w:val="[Normal]"/>
        <w:spacing w:line="360" w:lineRule="auto"/>
        <w:ind w:firstLine="1134"/>
        <w:jc w:val="both"/>
        <w:rPr>
          <w:color w:val="000000"/>
          <w:lang w:val="es-AR" w:eastAsia="es-AR" w:bidi="es-AR"/>
        </w:rPr>
      </w:pPr>
      <w:r>
        <w:rPr>
          <w:b/>
          <w:color w:val="000000"/>
          <w:lang w:val="es-AR" w:eastAsia="es-AR" w:bidi="es-AR"/>
        </w:rPr>
        <w:t xml:space="preserve">ASÍ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w:t>
      </w:r>
      <w:r>
        <w:rPr>
          <w:lang w:val="es-AR" w:eastAsia="es-AR" w:bidi="es-AR"/>
        </w:rPr>
        <w:t xml:space="preserve"> Renato Santore</w:t>
      </w:r>
      <w:r>
        <w:rPr>
          <w:color w:val="000000"/>
          <w:lang w:val="es-AR" w:eastAsia="es-AR" w:bidi="es-AR"/>
        </w:rPr>
        <w:t xml:space="preserv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b/>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1) Rechazar el recurso de apelación interpuesto por la parte actora, confirmando en un todo el pronunciamiento recurrido.</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a la parte actora (art. 68/9 del CPCCBA).</w:t>
      </w:r>
    </w:p>
    <w:p>
      <w:pPr>
        <w:pStyle w:val="[Normal]"/>
        <w:spacing w:line="360" w:lineRule="auto"/>
        <w:ind w:firstLine="1134"/>
        <w:jc w:val="both"/>
        <w:rPr>
          <w:color w:val="000000"/>
          <w:lang w:val="es-AR" w:eastAsia="es-AR" w:bidi="es-AR"/>
        </w:rPr>
      </w:pPr>
      <w:r>
        <w:rPr>
          <w:color w:val="000000"/>
          <w:lang w:val="es-AR" w:eastAsia="es-AR" w:bidi="es-AR"/>
        </w:rPr>
        <w:t xml:space="preserve">3) Diferir la regulación de honorarios para su oportunidad respectiva (art. 31 de la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360" w:lineRule="auto"/>
        <w:ind w:firstLine="1134"/>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27359036456@NOTIFICACIONES.SCBA.GOV.AR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20086100550@NOTIFICACIONES.SCBA.GOV.AR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20124348782@NOTIFICACIONES.SCBA.GOV.AR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10:15:13 -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12:24:20 - SANTORE Renato Eduardo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12:37:44 -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‰7-")è&amp;vK*@Š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231302090006864310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12:38:44 hs. bajo el número RS-101-2026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