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4644-22</w:t>
      </w:r>
      <w:r>
        <w:rPr>
          <w:lang w:val="es-AR" w:eastAsia="es-AR" w:bidi="es-AR"/>
        </w:rPr>
        <w:t xml:space="preserve"> caratulada </w:t>
      </w:r>
      <w:r>
        <w:rPr>
          <w:b/>
          <w:lang w:val="es-AR" w:eastAsia="es-AR" w:bidi="es-AR"/>
        </w:rPr>
        <w:t xml:space="preserve">"</w:t>
      </w:r>
      <w:r>
        <w:rPr>
          <w:b/>
          <w:color w:val="000000"/>
          <w:lang w:val="es-AR" w:eastAsia="es-AR" w:bidi="es-AR"/>
        </w:rPr>
        <w:t xml:space="preserve">AGRICULTORES FEDERADOS ARGENTINOS S.C.L.  C/ DEL PIANO EDUARDO ANDRES S/ COBRO EJECUTIVO</w:t>
      </w:r>
      <w:r>
        <w:rPr>
          <w:b/>
          <w:lang w:val="es-AR" w:eastAsia="es-AR" w:bidi="es-AR"/>
        </w:rPr>
        <w:t xml:space="preserve">"</w:t>
      </w:r>
      <w:r>
        <w:rPr>
          <w:lang w:val="es-AR" w:eastAsia="es-AR" w:bidi="es-AR"/>
        </w:rPr>
        <w:t xml:space="preserve">, Expte. </w:t>
      </w:r>
      <w:r>
        <w:rPr>
          <w:color w:val="000000"/>
          <w:lang w:val="es-AR" w:eastAsia="es-AR" w:bidi="es-AR"/>
        </w:rPr>
        <w:t xml:space="preserve">N° 62.827 </w:t>
      </w:r>
      <w:r>
        <w:rPr>
          <w:lang w:val="es-AR" w:eastAsia="es-AR" w:bidi="es-AR"/>
        </w:rPr>
        <w:t xml:space="preserve">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color w:val="000000"/>
          <w:lang w:val="es-AR" w:eastAsia="es-AR" w:bidi="es-AR"/>
        </w:rPr>
      </w:pPr>
      <w:r>
        <w:rPr>
          <w:lang w:val="es-AR" w:eastAsia="es-AR" w:bidi="es-AR"/>
        </w:rPr>
        <w:t xml:space="preserve">El Sr. Juez de la anterior instancia rechazó</w:t>
      </w:r>
      <w:r>
        <w:rPr>
          <w:color w:val="000000"/>
          <w:lang w:val="es-AR" w:eastAsia="es-AR" w:bidi="es-AR"/>
        </w:rPr>
        <w:t xml:space="preserve"> la impugnación deducida por el ejecutado mediante presentación electrónica de fecha 17/12/25, con costas al mismo. Aprobó la liquidación correspondiente a estos actuados en la suma de pesos veinticuatro millones ochocientos mil novecientos sesenta y cuatro con un centavo ($24.800.964,01).</w:t>
      </w:r>
    </w:p>
    <w:p>
      <w:pPr>
        <w:pStyle w:val="[Normal]"/>
        <w:spacing w:line="360" w:lineRule="auto"/>
        <w:ind w:firstLine="1134"/>
        <w:jc w:val="both"/>
        <w:rPr>
          <w:lang w:val="es-AR" w:eastAsia="es-AR" w:bidi="es-AR"/>
        </w:rPr>
      </w:pPr>
      <w:r>
        <w:rPr>
          <w:color w:val="000000"/>
          <w:lang w:val="es-AR" w:eastAsia="es-AR" w:bidi="es-AR"/>
        </w:rPr>
        <w:t xml:space="preserve">Tal decisorio fue objeto del recurso de apelación interpuesto el día 13/2/26 por la parte demandada, concedido en fecha 19/2/26</w:t>
      </w:r>
      <w:r>
        <w:rPr>
          <w:b/>
          <w:color w:val="000000"/>
          <w:lang w:val="es-AR" w:eastAsia="es-AR" w:bidi="es-AR"/>
        </w:rPr>
        <w:t xml:space="preserve"> </w:t>
      </w:r>
      <w:r>
        <w:rPr>
          <w:color w:val="000000"/>
          <w:lang w:val="es-AR" w:eastAsia="es-AR" w:bidi="es-AR"/>
        </w:rPr>
        <w:t xml:space="preserve">en relación y con efecto suspensivo, fundado el 26/2/26 y del mismo traslado a la parte actora, quien lo evacuo en fecha 12/3/26. </w:t>
      </w:r>
      <w:r>
        <w:rPr>
          <w:lang w:val="es-AR" w:eastAsia="es-AR" w:bidi="es-AR"/>
        </w:rPr>
        <w:t xml:space="preserve">Elevados los autos a este organismo el 16/3/26, se dicta el llamamiento de autos para resolver en fecha 19/3/26, suspendiéndose el mismo el 31/3/26 ante el pedido de traba de embargo ejecutivo solicitado mediante escrito electrónico de fecha 30/3/26  por la parte actora, volviendo los autos a la instancia de origen a sus efectos. Ingresados nuevamente a esta Alzada los autos el 21/4/26, se reanuda el llamamiento de autos para resolver en fecha 23/4/26, providencia que estando firme a la fecha deja la causa en condiciones de ser fallada.</w:t>
      </w:r>
    </w:p>
    <w:p>
      <w:pPr>
        <w:pStyle w:val="[Normal]"/>
        <w:spacing w:line="360" w:lineRule="auto"/>
        <w:ind w:firstLine="1134"/>
        <w:jc w:val="both"/>
        <w:rPr>
          <w:color w:val="000000"/>
          <w:lang w:val="es-AR" w:eastAsia="es-AR" w:bidi="es-AR"/>
        </w:rPr>
      </w:pPr>
      <w:r>
        <w:rPr>
          <w:color w:val="000000"/>
          <w:lang w:val="es-AR" w:eastAsia="es-AR" w:bidi="es-AR"/>
        </w:rPr>
        <w:t xml:space="preserve">La parte demandada se agravia al sostener que la sentencia cuestionada vulnera los principios de equidad y de no confiscatoriedad, por resultar desproporcionada, abusiva y generadora de un enriquecimiento sin causa a favor de la actora.</w:t>
      </w:r>
    </w:p>
    <w:p>
      <w:pPr>
        <w:pStyle w:val="[Normal]"/>
        <w:spacing w:line="360" w:lineRule="auto"/>
        <w:ind w:firstLine="1134"/>
        <w:jc w:val="both"/>
        <w:rPr>
          <w:color w:val="000000"/>
          <w:lang w:val="es-AR" w:eastAsia="es-AR" w:bidi="es-AR"/>
        </w:rPr>
      </w:pPr>
      <w:r>
        <w:rPr>
          <w:color w:val="000000"/>
          <w:lang w:val="es-AR" w:eastAsia="es-AR" w:bidi="es-AR"/>
        </w:rPr>
        <w:t xml:space="preserve">Señala que el capital reclamado asciende a $300.000, mientras que la liquidación aprobada con fecha 13/2/26 determina un monto de $24.800.964,01, lo que evidencia -a su criterio- la necesidad de su atenuación a fin de tornarla susceptible de cumplimiento, con sustento en jurisprudencia que cita.</w:t>
      </w:r>
    </w:p>
    <w:p>
      <w:pPr>
        <w:pStyle w:val="[Normal]"/>
        <w:spacing w:line="360" w:lineRule="auto"/>
        <w:ind w:firstLine="1134"/>
        <w:jc w:val="both"/>
        <w:rPr>
          <w:color w:val="000000"/>
          <w:lang w:val="es-AR" w:eastAsia="es-AR" w:bidi="es-AR"/>
        </w:rPr>
      </w:pPr>
      <w:r>
        <w:rPr>
          <w:color w:val="000000"/>
          <w:lang w:val="es-AR" w:eastAsia="es-AR" w:bidi="es-AR"/>
        </w:rPr>
        <w:t xml:space="preserve">Afirma, en esa línea, que la resolución que aprueba la liquidación resulta inequitativa y desproporcionada, produciendo un enriquecimiento sin causa, en tanto parte de un capital de $300.000 para arribar a una suma superior a $24.000.000. Destaca la necesidad de reducir los intereses para preservar un adecuado equilibrio entre acreedor y deudor, invocando doctrina y jurisprudencia que admiten la potestad judicial de morigerarlos cuando su resultado se torna excesivo y contrario a la buena fe, la moral y las buenas costumbres. Añade como pauta de referencia la evolución del valor en dólares y la situación particular del ejecutado como pequeño productor agropecuario.</w:t>
      </w:r>
    </w:p>
    <w:p>
      <w:pPr>
        <w:pStyle w:val="[Normal]"/>
        <w:spacing w:line="360" w:lineRule="auto"/>
        <w:ind w:firstLine="1134"/>
        <w:jc w:val="both"/>
        <w:rPr>
          <w:color w:val="000000"/>
          <w:lang w:val="es-AR" w:eastAsia="es-AR" w:bidi="es-AR"/>
        </w:rPr>
      </w:pPr>
      <w:r>
        <w:rPr>
          <w:color w:val="000000"/>
          <w:lang w:val="es-AR" w:eastAsia="es-AR" w:bidi="es-AR"/>
        </w:rPr>
        <w:t xml:space="preserve">Cuestiona asimismo la utilización del índice de precios al consumidor (IPC) como mecanismo de actualización, por encontrarse -en principio- vedado por la normativa vigente salvo declaración de inconstitucionalidad, de carácter excepcional. Sostiene que dicho índice no resulta adecuado para este tipo de obligaciones, que su aplicación acumulativa arroja resultados desmedidos y que, conjuntamente con los intereses, configura una doble actualización que excede la finalidad de preservar el valor del crédito, generando un resultado irrazonable y contrario a los principios de equidad y buena fe.</w:t>
      </w:r>
    </w:p>
    <w:p>
      <w:pPr>
        <w:pStyle w:val="[Normal]"/>
        <w:spacing w:line="360" w:lineRule="auto"/>
        <w:ind w:firstLine="1134"/>
        <w:jc w:val="both"/>
        <w:rPr>
          <w:lang w:val="es-AR" w:eastAsia="es-AR" w:bidi="es-AR"/>
        </w:rPr>
      </w:pPr>
      <w:r>
        <w:rPr>
          <w:color w:val="000000"/>
          <w:lang w:val="es-AR" w:eastAsia="es-AR" w:bidi="es-AR"/>
        </w:rPr>
        <w:t xml:space="preserve">Finalmente, se agravia en relación con la situación procesal, alegando vulneración del principio de congruencia por haberse introducido de manera extemporánea el planteo de actualización e inconstitucionalidad, con modificación del objeto del proceso. Reitera que el resultado obtenido es desproporcionado y confiscatorio, cuestiona la aplicación del precedente “Barrios” y denuncia la omisión de ejercer la facultad morigeradora oportunamente reconocida. Solicita, en consecuencia, la revocación de la resolución apelada y la confección de una nueva liquidación conforme pautas de equidad y esfuerzo compartido.</w:t>
      </w:r>
    </w:p>
    <w:p>
      <w:pPr>
        <w:pStyle w:val="[Normal]"/>
        <w:spacing w:line="360" w:lineRule="auto"/>
        <w:ind w:firstLine="1134"/>
        <w:jc w:val="both"/>
        <w:rPr>
          <w:lang w:val="es-AR" w:eastAsia="es-AR" w:bidi="es-AR"/>
        </w:rPr>
      </w:pPr>
      <w:r>
        <w:rPr>
          <w:lang w:val="es-AR" w:eastAsia="es-AR" w:bidi="es-AR"/>
        </w:rPr>
        <w:t xml:space="preserve">Ingresando al análisis de la cuestión, surge que la parte actora solicitó mediante la presentación electrónica de fecha 25/6/24 la aplicación de la doctrina “Barrios”, petición que fue sustanciada con traslado a la contraria. </w:t>
      </w:r>
    </w:p>
    <w:p>
      <w:pPr>
        <w:pStyle w:val="[Normal]"/>
        <w:spacing w:line="360" w:lineRule="auto"/>
        <w:ind w:firstLine="1134"/>
        <w:jc w:val="both"/>
        <w:rPr>
          <w:lang w:val="es-AR" w:eastAsia="es-AR" w:bidi="es-AR"/>
        </w:rPr>
      </w:pPr>
      <w:r>
        <w:rPr>
          <w:lang w:val="es-AR" w:eastAsia="es-AR" w:bidi="es-AR"/>
        </w:rPr>
        <w:t xml:space="preserve">El juez de la anterior instancia en fecha 5/2/25 dictó sentencia de trance y remate condenando al demandado al pago del capital reclamado de $ 300.000, actualizado conforme el Índice de Precios al Consumidor “Nivel General” que publica el I.N.D.E.C., adicionando intereses a una tasa pura del 6% anual desde la mora (</w:t>
      </w:r>
      <w:r>
        <w:rPr>
          <w:color w:val="000000"/>
          <w:lang w:val="es-AR" w:eastAsia="es-AR" w:bidi="es-AR"/>
        </w:rPr>
        <w:t xml:space="preserve">28/11/18</w:t>
      </w:r>
      <w:r>
        <w:rPr>
          <w:lang w:val="es-AR" w:eastAsia="es-AR" w:bidi="es-AR"/>
        </w:rPr>
        <w:t xml:space="preserve">) hasta la fecha de dicha sentencia y, desde entonces y hasta el efectivo pago, la tasa activa del Banco de la Provincia de Buenos Aires en sus operaciones ordinarias de descuento a treinta días.</w:t>
      </w:r>
    </w:p>
    <w:p>
      <w:pPr>
        <w:pStyle w:val="[Normal]"/>
        <w:spacing w:line="360" w:lineRule="auto"/>
        <w:ind w:firstLine="1134"/>
        <w:jc w:val="both"/>
        <w:rPr>
          <w:lang w:val="es-AR" w:eastAsia="es-AR" w:bidi="es-AR"/>
        </w:rPr>
      </w:pPr>
      <w:r>
        <w:rPr>
          <w:lang w:val="es-AR" w:eastAsia="es-AR" w:bidi="es-AR"/>
        </w:rPr>
        <w:t xml:space="preserve">Dicha resolución fue debidamente notificada y no fue recurrida por la parte quejosa oportunamente, adquiriendo por tanto firmeza por el mero transcurso del plazo legal.</w:t>
      </w:r>
    </w:p>
    <w:p>
      <w:pPr>
        <w:pStyle w:val="[Normal]"/>
        <w:spacing w:line="360" w:lineRule="auto"/>
        <w:ind w:firstLine="1134"/>
        <w:jc w:val="both"/>
        <w:rPr>
          <w:lang w:val="es-AR" w:eastAsia="es-AR" w:bidi="es-AR"/>
        </w:rPr>
      </w:pPr>
      <w:r>
        <w:rPr>
          <w:lang w:val="es-AR" w:eastAsia="es-AR" w:bidi="es-AR"/>
        </w:rPr>
        <w:t xml:space="preserve">En consecuencia, las pautas relativas a la actualización del capital y a la aplicación de intereses quedaron comprendidas en los efectos de la cosa juzgada, siendo improcedente en esta etapa modificar las bases establecidas para la liquidación.</w:t>
      </w:r>
    </w:p>
    <w:p>
      <w:pPr>
        <w:pStyle w:val="[Normal]"/>
        <w:spacing w:line="360" w:lineRule="auto"/>
        <w:ind w:firstLine="1134"/>
        <w:jc w:val="both"/>
        <w:rPr>
          <w:lang w:val="es-AR" w:eastAsia="es-AR" w:bidi="es-AR"/>
        </w:rPr>
      </w:pPr>
      <w:r>
        <w:rPr>
          <w:lang w:val="es-AR" w:eastAsia="es-AR" w:bidi="es-AR"/>
        </w:rPr>
        <w:t xml:space="preserve">Cabe precisar que, tratándose de un recurso contra la aprobación de liquidación, el ámbito de revisión de esta Alzada se circunscribe a verificar la corrección de la operación aritmética practicada conforme las pautas fijadas en la sentencia firme.  No resulta jurídicamente admisible reabrir el debate acerca de la razonabilidad, conveniencia o justicia intrínseca del sistema de actualización e intereses oportunamente dispuesto y consentido por las partes.</w:t>
      </w:r>
    </w:p>
    <w:p>
      <w:pPr>
        <w:pStyle w:val="[Normal]"/>
        <w:spacing w:line="360" w:lineRule="auto"/>
        <w:ind w:firstLine="1134"/>
        <w:jc w:val="both"/>
        <w:rPr>
          <w:lang w:val="es-AR" w:eastAsia="es-AR" w:bidi="es-AR"/>
        </w:rPr>
      </w:pPr>
      <w:r>
        <w:rPr>
          <w:lang w:val="es-AR" w:eastAsia="es-AR" w:bidi="es-AR"/>
        </w:rPr>
        <w:t xml:space="preserve">El agravio que pretende cuestionar tales criterios -mediante la invocación de principios de equidad, no confiscatoriedad o enriquecimiento sin causa- importa desconocer los efectos propios del principio de preclusión y de la inmutabilidad de la cosa juzgada.</w:t>
      </w:r>
    </w:p>
    <w:p>
      <w:pPr>
        <w:pStyle w:val="[Normal]"/>
        <w:spacing w:line="360" w:lineRule="auto"/>
        <w:ind w:firstLine="1134"/>
        <w:jc w:val="both"/>
        <w:rPr>
          <w:lang w:val="es-AR" w:eastAsia="es-AR" w:bidi="es-AR"/>
        </w:rPr>
      </w:pPr>
      <w:r>
        <w:rPr>
          <w:lang w:val="es-AR" w:eastAsia="es-AR" w:bidi="es-AR"/>
        </w:rPr>
        <w:t xml:space="preserve">Este Tribunal con otra composición ya ha sostenido que "...</w:t>
      </w:r>
      <w:r>
        <w:rPr>
          <w:i/>
          <w:lang w:val="es-AR" w:eastAsia="es-AR" w:bidi="es-AR"/>
        </w:rPr>
        <w:t xml:space="preserve"> no ejercida una facultad en tiempo y forma, la  misma  se  pierde  por cuanto la preclusión opera como un impedimento o una imposibilidad: la facultad procesal no utilizada, se extingue" (confr. SCBA, Ac.75777 del 13/6/01 ent. ots.) y "...si una cuestión ha quedado definitivamente resuelta en sentencia firme, no puede ser nuevamente examinada y menos decidida en sentido distinto" </w:t>
      </w:r>
      <w:r>
        <w:rPr>
          <w:lang w:val="es-AR" w:eastAsia="es-AR" w:bidi="es-AR"/>
        </w:rPr>
        <w:t xml:space="preserve">(confr. SCBA, Ac.92718 del 26/4/06 ent. ots.)" (CAP Causa 191/09, RSD Nº 81/09). </w:t>
      </w:r>
    </w:p>
    <w:p>
      <w:pPr>
        <w:pStyle w:val="[Normal]"/>
        <w:spacing w:line="360" w:lineRule="auto"/>
        <w:ind w:firstLine="1134"/>
        <w:jc w:val="both"/>
        <w:rPr>
          <w:lang w:val="es-AR" w:eastAsia="es-AR" w:bidi="es-AR"/>
        </w:rPr>
      </w:pPr>
      <w:r>
        <w:rPr>
          <w:lang w:val="es-AR" w:eastAsia="es-AR" w:bidi="es-AR"/>
        </w:rPr>
        <w:t xml:space="preserve">Sentado ello, corresponde analizar si la liquidación aprobada resulta susceptible de morigeración con fundamento en el art. 771 del CCyC.</w:t>
      </w:r>
    </w:p>
    <w:p>
      <w:pPr>
        <w:pStyle w:val="[Normal]"/>
        <w:spacing w:line="360" w:lineRule="auto"/>
        <w:ind w:firstLine="1134"/>
        <w:jc w:val="both"/>
        <w:rPr>
          <w:lang w:val="es-AR" w:eastAsia="es-AR" w:bidi="es-AR"/>
        </w:rPr>
      </w:pPr>
      <w:r>
        <w:rPr>
          <w:lang w:val="es-AR" w:eastAsia="es-AR" w:bidi="es-AR"/>
        </w:rPr>
        <w:t xml:space="preserve">En referencia a ello se debe ponderar que la pretensión de aplicar en esta instancia la facultad atenuadora referida en la párrafo anterior, importa, en rigor, cuestionar la razonabilidad del régimen de intereses establecido en la sentencia de trance y remate del 5/2/25.</w:t>
      </w:r>
    </w:p>
    <w:p>
      <w:pPr>
        <w:pStyle w:val="[Normal]"/>
        <w:spacing w:line="360" w:lineRule="auto"/>
        <w:ind w:firstLine="1134"/>
        <w:jc w:val="both"/>
        <w:rPr>
          <w:lang w:val="es-AR" w:eastAsia="es-AR" w:bidi="es-AR"/>
        </w:rPr>
      </w:pPr>
      <w:r>
        <w:rPr>
          <w:lang w:val="es-AR" w:eastAsia="es-AR" w:bidi="es-AR"/>
        </w:rPr>
        <w:t xml:space="preserve">Sin embargo, dicha norma no puede erigirse en una vía indirecta para revisar lo decidido con autoridad de cosa juzgada. La potestad de reducir intereses manifiestamente desproporcionados encuentra su ámbito natural de actuación al momento de fijarse la condena (o al revisarse ésta por vía recursiva), pero no cuando los intereses han sido determinados judicialmente en un pronunciamiento que ya se encuentra a la fecha firme y consentido. Admitir lo contrario implicaría desconocer el principio de inmutabilidad de la sentencia pasada en autoridad de cosa juzgada, con afectación de la seguridad jurídica. </w:t>
      </w:r>
    </w:p>
    <w:p>
      <w:pPr>
        <w:pStyle w:val="[Normal]"/>
        <w:spacing w:line="360" w:lineRule="auto"/>
        <w:ind w:firstLine="1134"/>
        <w:jc w:val="both"/>
        <w:rPr>
          <w:lang w:val="es-AR" w:eastAsia="es-AR" w:bidi="es-AR"/>
        </w:rPr>
      </w:pPr>
      <w:r>
        <w:rPr>
          <w:lang w:val="es-AR" w:eastAsia="es-AR" w:bidi="es-AR"/>
        </w:rPr>
        <w:t xml:space="preserve">Como se ha expresado en los párrafos antecedentes la magnitud del resultado final criticado por el recurrente, en un contexto inflacionario y bajo un esquema que combina actualización por índice del consumidor y tasas diferenciadas, no constituye por sí sola demostración de abuso o desproporción sobreviniente, sino la consecuencia directa del método de recomposición del crédito adoptado y consentido por la propia parte aquí lo cuestiona.</w:t>
      </w:r>
    </w:p>
    <w:p>
      <w:pPr>
        <w:pStyle w:val="[Normal]"/>
        <w:spacing w:line="360" w:lineRule="auto"/>
        <w:ind w:firstLine="1134"/>
        <w:jc w:val="both"/>
        <w:rPr>
          <w:lang w:val="es-AR" w:eastAsia="es-AR" w:bidi="es-AR"/>
        </w:rPr>
      </w:pPr>
      <w:r>
        <w:rPr>
          <w:lang w:val="es-AR" w:eastAsia="es-AR" w:bidi="es-AR"/>
        </w:rPr>
        <w:t xml:space="preserve">Resultando de consideración adunar que tampoco resulta atendible la invocación del principio de esfuerzo compartido, pues su aplicación en esta etapa importaría modificar sustancialmente una condena firme.</w:t>
      </w:r>
    </w:p>
    <w:p>
      <w:pPr>
        <w:pStyle w:val="[Normal]"/>
        <w:spacing w:line="360" w:lineRule="auto"/>
        <w:ind w:firstLine="1134"/>
        <w:jc w:val="both"/>
        <w:rPr>
          <w:lang w:val="es-AR" w:eastAsia="es-AR" w:bidi="es-AR"/>
        </w:rPr>
      </w:pPr>
      <w:r>
        <w:rPr>
          <w:lang w:val="es-AR" w:eastAsia="es-AR" w:bidi="es-AR"/>
        </w:rPr>
        <w:t xml:space="preserve">Tal criterio ha sido adoptado por esta Alzada en las causas N° 4615-22 RSD 14/26 del 26/2/26, N° 4640-22 RSD 48/26 del 9/4/26.</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interpuesto y confirmar en su totalidad la sentencia en crisis.</w:t>
      </w:r>
    </w:p>
    <w:p>
      <w:pPr>
        <w:pStyle w:val="[Normal]"/>
        <w:spacing w:line="360" w:lineRule="auto"/>
        <w:ind w:firstLine="1134"/>
        <w:jc w:val="both"/>
        <w:rPr>
          <w:color w:val="000000"/>
          <w:lang w:val="es-AR" w:eastAsia="es-AR" w:bidi="es-AR"/>
        </w:rPr>
      </w:pPr>
      <w:r>
        <w:rPr>
          <w:color w:val="000000"/>
          <w:lang w:val="es-AR" w:eastAsia="es-AR" w:bidi="es-AR"/>
        </w:rPr>
        <w:t xml:space="preserve">2) Imponer las costas de Alzada al apelante perdidoso (art. 68/69 del CPCC).</w:t>
      </w:r>
    </w:p>
    <w:p>
      <w:pPr>
        <w:pStyle w:val="[Normal]"/>
        <w:spacing w:line="360" w:lineRule="auto"/>
        <w:ind w:firstLine="1134"/>
        <w:jc w:val="both"/>
        <w:rPr>
          <w:lang w:val="es-AR" w:eastAsia="es-AR" w:bidi="es-AR"/>
        </w:rPr>
      </w:pPr>
      <w:r>
        <w:rPr>
          <w:color w:val="000000"/>
          <w:lang w:val="es-AR" w:eastAsia="es-AR" w:bidi="es-AR"/>
        </w:rPr>
        <w:t xml:space="preserve">3) Diferir la regulación de honorarios para su oportunidad respectiva (art. 31 de la ley 14.697).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interpuesto y confirmar en su totalidad la sentencia en crisis.</w:t>
      </w:r>
    </w:p>
    <w:p>
      <w:pPr>
        <w:pStyle w:val="[Normal]"/>
        <w:spacing w:line="360" w:lineRule="auto"/>
        <w:ind w:firstLine="1134"/>
        <w:jc w:val="both"/>
        <w:rPr>
          <w:color w:val="000000"/>
          <w:lang w:val="es-AR" w:eastAsia="es-AR" w:bidi="es-AR"/>
        </w:rPr>
      </w:pPr>
      <w:r>
        <w:rPr>
          <w:color w:val="000000"/>
          <w:lang w:val="es-AR" w:eastAsia="es-AR" w:bidi="es-AR"/>
        </w:rPr>
        <w:t xml:space="preserve">2) Imponer las costas de Alzada al apelante perdidoso (art. 68/69 del CPCC).</w:t>
      </w:r>
    </w:p>
    <w:p>
      <w:pPr>
        <w:pStyle w:val="[Normal]"/>
        <w:spacing w:line="360" w:lineRule="auto"/>
        <w:ind w:firstLine="1134"/>
        <w:jc w:val="both"/>
        <w:rPr>
          <w:lang w:val="es-AR" w:eastAsia="es-AR" w:bidi="es-AR"/>
        </w:rPr>
      </w:pPr>
      <w:r>
        <w:rPr>
          <w:color w:val="000000"/>
          <w:lang w:val="es-AR" w:eastAsia="es-AR" w:bidi="es-AR"/>
        </w:rPr>
        <w:t xml:space="preserve">3) Diferir la regulación de honorarios para su oportunidad respectiva (art. 31 de la ley 14.697).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09/06/2026 09:57:08 -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09/06/2026 10:21:33 -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09/06/2026 12:31:52 -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‰7a")è&amp;{]L#Š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236502090006916144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09/06/2026 12:36:21 hs. bajo el número RS-95-2026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