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6036-26</w:t>
      </w:r>
      <w:r>
        <w:rPr>
          <w:lang w:val="es-AR" w:eastAsia="es-AR" w:bidi="es-AR"/>
        </w:rPr>
        <w:t xml:space="preserve"> caratulada </w:t>
      </w:r>
      <w:r>
        <w:rPr>
          <w:b/>
          <w:lang w:val="es-AR" w:eastAsia="es-AR" w:bidi="es-AR"/>
        </w:rPr>
        <w:t xml:space="preserve">"</w:t>
      </w:r>
      <w:r>
        <w:rPr>
          <w:b/>
          <w:color w:val="000000"/>
          <w:lang w:val="es-AR" w:eastAsia="es-AR" w:bidi="es-AR"/>
        </w:rPr>
        <w:t xml:space="preserve">REYNOSO ANTONIA ANA C/ LA MERCANTIL ANDINA S.A.  S/ DAÑOS Y PERJ. INCUMP. CONTRACTUAL (EXC. ESTADO)</w:t>
      </w:r>
      <w:r>
        <w:rPr>
          <w:b/>
          <w:lang w:val="es-AR" w:eastAsia="es-AR" w:bidi="es-AR"/>
        </w:rPr>
        <w:t xml:space="preserve">"</w:t>
      </w:r>
      <w:r>
        <w:rPr>
          <w:lang w:val="es-AR" w:eastAsia="es-AR" w:bidi="es-AR"/>
        </w:rPr>
        <w:t xml:space="preserve">, Expte. N° 68779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excepción de prescripción, con costas a cargo de la vencida. Difirió la regulación de los honorarios de los profesionales intervinientes.</w:t>
      </w:r>
    </w:p>
    <w:p>
      <w:pPr>
        <w:pStyle w:val="[Normal]"/>
        <w:spacing w:line="360" w:lineRule="auto"/>
        <w:ind w:firstLine="1134"/>
        <w:jc w:val="both"/>
        <w:rPr>
          <w:lang w:val="es-AR" w:eastAsia="es-AR" w:bidi="es-AR"/>
        </w:rPr>
      </w:pPr>
      <w:r>
        <w:rPr>
          <w:lang w:val="es-AR" w:eastAsia="es-AR" w:bidi="es-AR"/>
        </w:rPr>
        <w:t xml:space="preserve">En disconformidad con lo resuelto apela el 5/3/2026 la parte actora, siendo concedido en relación  el recurso el 13/3/2026, fundando el 18/3/2026, contestando el traslado conferido el 31/3/2026 el apoderado de la contraparte, dándose vista al Agente Fiscal y evacuada la misma el 21/4/2026, se llama autos para resolver el 23/04/2026, providencia que estando firme deja la causa en condiciones de ser resuelta.-</w:t>
      </w:r>
    </w:p>
    <w:p>
      <w:pPr>
        <w:pStyle w:val="[Normal]"/>
        <w:spacing w:line="360" w:lineRule="auto"/>
        <w:ind w:firstLine="1134"/>
        <w:jc w:val="both"/>
        <w:rPr>
          <w:lang w:val="es-AR" w:eastAsia="es-AR" w:bidi="es-AR"/>
        </w:rPr>
      </w:pPr>
      <w:r>
        <w:rPr>
          <w:lang w:val="es-AR" w:eastAsia="es-AR" w:bidi="es-AR"/>
        </w:rPr>
        <w:t xml:space="preserve">Se duele la recurrente en tanto el aquo se aleja del principio protectorio del consumidor haciendo lugar a la aplicación del plazo de prescripción más corto establecido en el art. 58 de la ley de seguros 17.418 que ha generado diversas críticas en cuanto a doctrina y jurisprudencia.-</w:t>
      </w:r>
    </w:p>
    <w:p>
      <w:pPr>
        <w:pStyle w:val="[Normal]"/>
        <w:spacing w:line="360" w:lineRule="auto"/>
        <w:ind w:firstLine="1134"/>
        <w:jc w:val="both"/>
        <w:rPr>
          <w:lang w:val="es-AR" w:eastAsia="es-AR" w:bidi="es-AR"/>
        </w:rPr>
      </w:pPr>
      <w:r>
        <w:rPr>
          <w:lang w:val="es-AR" w:eastAsia="es-AR" w:bidi="es-AR"/>
        </w:rPr>
        <w:t xml:space="preserve">Aduce que esta Cámara en lo Civil y Comercial, ha sostenido en diversos fallos que el criterio al aplicar el plazo de prescripción ante la duda sea el más favorable al consumidor, citando precedentes de aplicación en donde puntualmente sostiene que "…ante la disyuntiva normativa planteada entre el plazo anual previsto por el art. 58 de la ley de seguros 17.418 y el plazo de 3 años contemplado por el art. 50 de la ley del consumidor, ha de prevalecer aquel término prescriptivo que resulte más favorable al consumidor -categoría en la que encuadra el actor como destinatario final del servicio contratado (art. 1 de la ley 24.240)-, pues así lo dispone la pauta de prelación interpretativa (art. 3 de la ley 24.240) y normativa (art. 1094) que resuelven los conflictos jurídicos suscitados en los supuestos de concurrencia legal”...-</w:t>
      </w:r>
    </w:p>
    <w:p>
      <w:pPr>
        <w:pStyle w:val="[Normal]"/>
        <w:spacing w:line="360" w:lineRule="auto"/>
        <w:ind w:firstLine="1134"/>
        <w:jc w:val="both"/>
        <w:rPr>
          <w:lang w:val="es-AR" w:eastAsia="es-AR" w:bidi="es-AR"/>
        </w:rPr>
      </w:pPr>
      <w:r>
        <w:rPr>
          <w:lang w:val="es-AR" w:eastAsia="es-AR" w:bidi="es-AR"/>
        </w:rPr>
        <w:t xml:space="preserve">Consigna jurisprudencia de aplicación en apoyo de su postura.</w:t>
      </w:r>
    </w:p>
    <w:p>
      <w:pPr>
        <w:pStyle w:val="[Normal]"/>
        <w:spacing w:line="360" w:lineRule="auto"/>
        <w:ind w:firstLine="1134"/>
        <w:jc w:val="both"/>
        <w:rPr>
          <w:lang w:val="es-AR" w:eastAsia="es-AR" w:bidi="es-AR"/>
        </w:rPr>
      </w:pPr>
      <w:r>
        <w:rPr>
          <w:lang w:val="es-AR" w:eastAsia="es-AR" w:bidi="es-AR"/>
        </w:rPr>
        <w:t xml:space="preserve">Peticiona se revoque la sentencia interlocutoria de primera instancia dejándose sin efecto.-</w:t>
      </w:r>
    </w:p>
    <w:p>
      <w:pPr>
        <w:pStyle w:val="[Normal]"/>
        <w:spacing w:line="360" w:lineRule="auto"/>
        <w:ind w:firstLine="1134"/>
        <w:jc w:val="both"/>
        <w:rPr>
          <w:lang w:val="es-AR" w:eastAsia="es-AR" w:bidi="es-AR"/>
        </w:rPr>
      </w:pPr>
      <w:r>
        <w:rPr>
          <w:lang w:val="es-AR" w:eastAsia="es-AR" w:bidi="es-AR"/>
        </w:rPr>
        <w:t xml:space="preserve">Asimismo en el supuesto caso que se rechace la apelación esgrimida  solicita se apliquen costas en el orden causado atento se trata de un hecho novedoso.</w:t>
      </w:r>
    </w:p>
    <w:p>
      <w:pPr>
        <w:pStyle w:val="[Normal]"/>
        <w:spacing w:line="360" w:lineRule="auto"/>
        <w:ind w:firstLine="1134"/>
        <w:jc w:val="both"/>
        <w:rPr>
          <w:lang w:val="es-AR" w:eastAsia="es-AR" w:bidi="es-AR"/>
        </w:rPr>
      </w:pPr>
      <w:r>
        <w:rPr>
          <w:lang w:val="es-AR" w:eastAsia="es-AR" w:bidi="es-AR"/>
        </w:rPr>
        <w:t xml:space="preserve">En su conteste el apoderado de la demandada solicita el rechazo in limine del planteo efectuado por la actora, aduciendo que la SCBA resolvió que el plazo aplicable a las acciones que nacen del contrato de seguro es el establecido en la Ley de Seguros, norma especial aplicable que no contradice la relativa a consumo, que luego de la sanción del Código Civil y Comercial no contiene plazo al efecto, solicitando se dicte  sentencia rechazando los agravios plasmados por la parte actora, con costas.- </w:t>
      </w:r>
    </w:p>
    <w:p>
      <w:pPr>
        <w:pStyle w:val="[Normal]"/>
        <w:spacing w:line="360" w:lineRule="auto"/>
        <w:ind w:firstLine="1134"/>
        <w:jc w:val="both"/>
        <w:rPr>
          <w:lang w:val="es-AR" w:eastAsia="es-AR" w:bidi="es-AR"/>
        </w:rPr>
      </w:pPr>
      <w:r>
        <w:rPr>
          <w:lang w:val="es-AR" w:eastAsia="es-AR" w:bidi="es-AR"/>
        </w:rPr>
        <w:t xml:space="preserve">Entrando a resolver se advierte que el tema traído a despacho ha sido objeto de resolución por parte del Superior Tribunal Provincial, tal y como lo resolviera el a quo, por lo que independientemente de los casos señalados por el apelante resueltos por esta Cámara de Apelaciones, ante la existencia de doctrina legal al respecto no pueden ser ya resueltos de la misma forma.</w:t>
      </w:r>
    </w:p>
    <w:p>
      <w:pPr>
        <w:pStyle w:val="[Normal]"/>
        <w:spacing w:line="360" w:lineRule="auto"/>
        <w:ind w:firstLine="1134"/>
        <w:jc w:val="both"/>
        <w:rPr>
          <w:lang w:val="es-AR" w:eastAsia="es-AR" w:bidi="es-AR"/>
        </w:rPr>
      </w:pPr>
      <w:r>
        <w:rPr>
          <w:lang w:val="es-AR" w:eastAsia="es-AR" w:bidi="es-AR"/>
        </w:rPr>
        <w:t xml:space="preserve">En efecto y luego del fallo Toscano, en el cual la S.C.B.A. ha establecido  que el término aplicable a la prescripción de las acciones que nacen del contrato de seguro, es el establecido en la ley especial que regula la materia (Cfr. SCBA Acuerdo Nro. 3971 Causa Nro. 125.525 "Toscano c. La Caja s. Daños y Perjuicios"), es doctrina </w:t>
      </w:r>
      <w:r>
        <w:rPr>
          <w:b/>
          <w:lang w:val="es-AR" w:eastAsia="es-AR" w:bidi="es-AR"/>
        </w:rPr>
        <w:t xml:space="preserve">l</w:t>
      </w:r>
      <w:r>
        <w:rPr>
          <w:lang w:val="es-AR" w:eastAsia="es-AR" w:bidi="es-AR"/>
        </w:rPr>
        <w:t xml:space="preserve">egal y ella ha sido la aplicada en el fallo recurrido por lo que es de observancia obligatoria (arts. 278, 279 del C.P.C. y C. y su doctrina)</w:t>
      </w:r>
    </w:p>
    <w:p>
      <w:pPr>
        <w:pStyle w:val="[Normal]"/>
        <w:spacing w:line="360" w:lineRule="auto"/>
        <w:ind w:firstLine="1134"/>
        <w:jc w:val="both"/>
        <w:rPr>
          <w:lang w:val="es-AR" w:eastAsia="es-AR" w:bidi="es-AR"/>
        </w:rPr>
      </w:pPr>
      <w:r>
        <w:rPr>
          <w:lang w:val="es-AR" w:eastAsia="es-AR" w:bidi="es-AR"/>
        </w:rPr>
        <w:t xml:space="preserve">Al efecto he de señalar que la Suprema Corte de Justicia Provincial es el norte que debe guiar e inspirar la tarea del juzgador. Y como tal, ha recalcado que "</w:t>
      </w:r>
      <w:r>
        <w:rPr>
          <w:i/>
          <w:lang w:val="es-AR" w:eastAsia="es-AR" w:bidi="es-AR"/>
        </w:rPr>
        <w:t xml:space="preserve">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 (SCBA, Ac. 52.258 del 2/8/94; e.o), de allí que la doctrina legal de la Casación bonaerense devenga obligatoria para los órganos jurisdiccionales de la instancias ordinarias </w:t>
      </w:r>
      <w:r>
        <w:rPr>
          <w:lang w:val="es-AR" w:eastAsia="es-AR" w:bidi="es-AR"/>
        </w:rPr>
        <w:t xml:space="preserve">(art. 161 inc. 3, ap. "a" Const. Pcial; esta Sala, B-82.123, reg. sent. 326/95; B-84.791 reg. sent. 48/97; B-87.496 reg. sent. 282/97, 99.419 reg. sent. 86/06, 117.665 reg. sent. 100/14, e.o).-</w:t>
      </w:r>
    </w:p>
    <w:p>
      <w:pPr>
        <w:pStyle w:val="[Normal]"/>
        <w:spacing w:line="360" w:lineRule="auto"/>
        <w:ind w:firstLine="1134"/>
        <w:jc w:val="both"/>
        <w:rPr>
          <w:lang w:val="es-AR" w:eastAsia="es-AR" w:bidi="es-AR"/>
        </w:rPr>
      </w:pPr>
      <w:r>
        <w:rPr>
          <w:lang w:val="es-AR" w:eastAsia="es-AR" w:bidi="es-AR"/>
        </w:rPr>
        <w:t xml:space="preserve">Desde esta perspectiva, el precedente invocado por la recurrente conserva valor como antecedente de la posición anteriormente seguida por este Tribunal, pero no resulta decisivo para resolver el caso una vez que la Casación provincial ha definido la inteligencia aplicable al punto. </w:t>
      </w:r>
    </w:p>
    <w:p>
      <w:pPr>
        <w:pStyle w:val="[Normal]"/>
        <w:spacing w:line="360" w:lineRule="auto"/>
        <w:ind w:firstLine="1134"/>
        <w:jc w:val="both"/>
        <w:rPr>
          <w:lang w:val="es-AR" w:eastAsia="es-AR" w:bidi="es-AR"/>
        </w:rPr>
      </w:pPr>
      <w:r>
        <w:rPr>
          <w:lang w:val="es-AR" w:eastAsia="es-AR" w:bidi="es-AR"/>
        </w:rPr>
        <w:t xml:space="preserve">La seguridad jurídica, la igualdad ante la ley y la función uniformadora propia del recurso extraordinario de inaplicabilidad de ley imponen que los tribunales ordinarios ajusten sus decisiones a la doctrina legal vigente de la Suprema Corte, máxime cuando se trata de un supuesto sustancialmente análogo y no se advierten particularidades fácticas o jurídicas que justifiquen su inaplicación. </w:t>
      </w:r>
    </w:p>
    <w:p>
      <w:pPr>
        <w:pStyle w:val="[Normal]"/>
        <w:spacing w:line="360" w:lineRule="auto"/>
        <w:ind w:firstLine="1134"/>
        <w:jc w:val="both"/>
        <w:rPr>
          <w:lang w:val="es-AR" w:eastAsia="es-AR" w:bidi="es-AR"/>
        </w:rPr>
      </w:pPr>
      <w:r>
        <w:rPr>
          <w:lang w:val="es-AR" w:eastAsia="es-AR" w:bidi="es-AR"/>
        </w:rPr>
        <w:t xml:space="preserve">De allí que el agravio actoral, en cuanto reedita la tesis del plazo más extenso con fundamento exclusivo en la normativa consumeril y en precedentes anteriores de esta Alzada, no logra conmover el fundamento central de la sentencia apelada, asentado precisamente en la doctrina legal obligatoria emanada del Superior Tribunal provincial.</w:t>
      </w:r>
    </w:p>
    <w:p>
      <w:pPr>
        <w:pStyle w:val="[Normal]"/>
        <w:spacing w:line="360" w:lineRule="auto"/>
        <w:ind w:firstLine="1134"/>
        <w:jc w:val="both"/>
        <w:rPr>
          <w:lang w:val="es-AR" w:eastAsia="es-AR" w:bidi="es-AR"/>
        </w:rPr>
      </w:pPr>
      <w:r>
        <w:rPr>
          <w:lang w:val="es-AR" w:eastAsia="es-AR" w:bidi="es-AR"/>
        </w:rPr>
        <w:t xml:space="preserve">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SCBA, Ac. y Sent. 1959- IV-169; eo., Ibañez Frocham, Tratado de los recursos en el proceso civil, Omega, p. 313 y sig., Morello y otros, Códigos procesales..., T. III, p. 502, ap. b y c; esta Sala causas B-79.790 reg. sent. 38/95; B-80.472 reg. sent. 34/95; e.o) (conf. Cámara Segunda de Apelación en lo Civil y Comercial, Sala Tercera, de La Plata, causa nº 119.309, Reg. 161, del 15/10/2015).</w:t>
      </w:r>
    </w:p>
    <w:p>
      <w:pPr>
        <w:pStyle w:val="[Normal]"/>
        <w:spacing w:line="360" w:lineRule="auto"/>
        <w:ind w:firstLine="1134"/>
        <w:jc w:val="both"/>
        <w:rPr>
          <w:lang w:val="es-AR" w:eastAsia="es-AR" w:bidi="es-AR"/>
        </w:rPr>
      </w:pPr>
      <w:r>
        <w:rPr>
          <w:lang w:val="es-AR" w:eastAsia="es-AR" w:bidi="es-AR"/>
        </w:rPr>
        <w:t xml:space="preserve">Por último, y lo que sella la suerte del recurso es que se desentiende del argumento principal de la resolución puesta en crisis,  esto es el pronunciamiento de la SCBA sobre el punto en discusión, concretamente que  el término aplicable a las prescripción de las acciones que nacen del contrato de seguro, es el establecido en la ley especial que regula la materia, y que constituye el sostén decisivo de la solución adoptada, por lo que al permanecer intacto el argumento central que sustenta la sentencia, el agravio deviene insuficiente y no puede prosperar.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recurrida en todas sus partes, con costas al apelante que resulta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recurrida en todas sus partes, con costas al apelante que resulta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10:14:51 -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10:29:48 -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12:47:09 -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‰6{")è&amp;}!JuŠ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229102090006930142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12:47:21 hs. bajo el número RS-103-2026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