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5179-23</w:t>
      </w:r>
      <w:r>
        <w:rPr>
          <w:lang w:val="es-AR" w:eastAsia="es-AR" w:bidi="es-AR"/>
        </w:rPr>
        <w:t xml:space="preserve"> caratulada </w:t>
      </w:r>
      <w:r>
        <w:rPr>
          <w:b/>
          <w:lang w:val="es-AR" w:eastAsia="es-AR" w:bidi="es-AR"/>
        </w:rPr>
        <w:t xml:space="preserve">"</w:t>
      </w:r>
      <w:r>
        <w:rPr>
          <w:b/>
          <w:color w:val="000000"/>
          <w:lang w:val="es-AR" w:eastAsia="es-AR" w:bidi="es-AR"/>
        </w:rPr>
        <w:t xml:space="preserve">LOPEZ OSCAR Y OTRO/A S/ SUCESION AB-INTESTATO</w:t>
      </w:r>
      <w:r>
        <w:rPr>
          <w:b/>
          <w:lang w:val="es-AR" w:eastAsia="es-AR" w:bidi="es-AR"/>
        </w:rPr>
        <w:t xml:space="preserve">"</w:t>
      </w:r>
      <w:r>
        <w:rPr>
          <w:lang w:val="es-AR" w:eastAsia="es-AR" w:bidi="es-AR"/>
        </w:rPr>
        <w:t xml:space="preserve">, Expte. 78.791</w:t>
      </w:r>
      <w:r>
        <w:rPr>
          <w:color w:val="000000"/>
          <w:lang w:val="es-AR" w:eastAsia="es-AR" w:bidi="es-AR"/>
        </w:rPr>
        <w:t xml:space="preserve"> </w:t>
      </w:r>
      <w:r>
        <w:rPr>
          <w:lang w:val="es-AR" w:eastAsia="es-AR" w:bidi="es-AR"/>
        </w:rPr>
        <w:t xml:space="preserve">del Juzgado Civil y Comercial N°1,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 </w:t>
      </w:r>
    </w:p>
    <w:p>
      <w:pPr>
        <w:pStyle w:val="[Normal]"/>
        <w:spacing w:line="360" w:lineRule="auto"/>
        <w:ind w:firstLine="1134"/>
        <w:jc w:val="both"/>
        <w:rPr>
          <w:lang w:val="es-AR" w:eastAsia="es-AR" w:bidi="es-AR"/>
        </w:rPr>
      </w:pPr>
      <w:r>
        <w:rPr>
          <w:lang w:val="es-AR" w:eastAsia="es-AR" w:bidi="es-AR"/>
        </w:rPr>
        <w:t xml:space="preserve">El señor Juez de la anterior sede, en lo que aquí interesa, tomando como base el porcentaje denunciado de los bienes reguló los honorarios de los letrados intervinientes.</w:t>
      </w:r>
    </w:p>
    <w:p>
      <w:pPr>
        <w:pStyle w:val="[Normal]"/>
        <w:spacing w:line="360" w:lineRule="auto"/>
        <w:ind w:firstLine="1134"/>
        <w:jc w:val="both"/>
        <w:rPr>
          <w:lang w:val="es-AR" w:eastAsia="es-AR" w:bidi="es-AR"/>
        </w:rPr>
      </w:pPr>
      <w:r>
        <w:rPr>
          <w:lang w:val="es-AR" w:eastAsia="es-AR" w:bidi="es-AR"/>
        </w:rPr>
        <w:t xml:space="preserve">Disconforme con lo resuelto, interponen recurso de apelación Hugo Omar López y Jorgelina Micaela Bosco (en representación de su hija menor de edad Lourdes López Bosco) ambos en fecha 7-8-2025, habiendo el Dr. Pimpinatti contestado el traslado conferido en fecha 2-8-2025.-</w:t>
      </w:r>
    </w:p>
    <w:p>
      <w:pPr>
        <w:pStyle w:val="[Normal]"/>
        <w:spacing w:line="360" w:lineRule="auto"/>
        <w:ind w:firstLine="1134"/>
        <w:jc w:val="both"/>
        <w:rPr>
          <w:lang w:val="es-AR" w:eastAsia="es-AR" w:bidi="es-AR"/>
        </w:rPr>
      </w:pPr>
      <w:r>
        <w:rPr>
          <w:lang w:val="es-AR" w:eastAsia="es-AR" w:bidi="es-AR"/>
        </w:rPr>
        <w:t xml:space="preserve">Elevados los autos a esta Alzada, en fecha 17-3-2026 se dictó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Los recurrentes cuestionan la regulación de honorarios practicada en autos, así como la base regulatoria utilizada para su determinación, por considerar que le ocasiona un gravamen irreparable.</w:t>
      </w:r>
    </w:p>
    <w:p>
      <w:pPr>
        <w:pStyle w:val="[Normal]"/>
        <w:spacing w:line="360" w:lineRule="auto"/>
        <w:ind w:firstLine="1134"/>
        <w:jc w:val="both"/>
        <w:rPr>
          <w:lang w:val="es-AR" w:eastAsia="es-AR" w:bidi="es-AR"/>
        </w:rPr>
      </w:pPr>
      <w:r>
        <w:rPr>
          <w:lang w:val="es-AR" w:eastAsia="es-AR" w:bidi="es-AR"/>
        </w:rPr>
        <w:t xml:space="preserve">Sostiene que la regulación fue efectuada tomando como base los bienes denunciados en las declaraciones juradas patrimoniales presentadas el 09/06/2025 respecto de ambos causantes. En particular, agravia que al cuantificarse la base regulatoria correspondiente a los inmuebles identificados como matrícula 4478 de Colón (Circ. V, Parcela 409) y matrícula 6726 de Colón (Circ. V, Parcela 420), se habría considerado erróneamente el valor total de cada bien conforme al impuesto al acto, esto es, las sumas de $75.168.141 y $50.716.052 respectivamente.</w:t>
      </w:r>
    </w:p>
    <w:p>
      <w:pPr>
        <w:pStyle w:val="[Normal]"/>
        <w:spacing w:line="360" w:lineRule="auto"/>
        <w:ind w:firstLine="1134"/>
        <w:jc w:val="both"/>
        <w:rPr>
          <w:lang w:val="es-AR" w:eastAsia="es-AR" w:bidi="es-AR"/>
        </w:rPr>
      </w:pPr>
      <w:r>
        <w:rPr>
          <w:lang w:val="es-AR" w:eastAsia="es-AR" w:bidi="es-AR"/>
        </w:rPr>
        <w:t xml:space="preserve">Afirma que tal criterio resulta incorrecto, en tanto a la sucesión sólo ingresaron porcentajes indivisos de dichos inmuebles -20% en el primer caso y 25% en el segundo-, por lo que la base regulatoria debió limitarse a los valores proporcionales correspondientes, equivalentes a $15.033.628 y $12.679.013, respectivamente.</w:t>
      </w:r>
    </w:p>
    <w:p>
      <w:pPr>
        <w:pStyle w:val="[Normal]"/>
        <w:spacing w:line="360" w:lineRule="auto"/>
        <w:ind w:firstLine="1134"/>
        <w:jc w:val="both"/>
        <w:rPr>
          <w:lang w:val="es-AR" w:eastAsia="es-AR" w:bidi="es-AR"/>
        </w:rPr>
      </w:pPr>
      <w:r>
        <w:rPr>
          <w:lang w:val="es-AR" w:eastAsia="es-AR" w:bidi="es-AR"/>
        </w:rPr>
        <w:t xml:space="preserve">Alega que el error denunciado produjo una indebida e injustificada elevación de la base regulatoria y, en consecuencia, del monto de los honorarios regulados a favor de los Dres. Mario Mariani y Damián Alcides Pimpinatti por trabajos comunes, los que califica como excesivos, desproporcionados y confiscatorios en relación con el acervo efectivamente transmitido.</w:t>
      </w:r>
    </w:p>
    <w:p>
      <w:pPr>
        <w:pStyle w:val="[Normal]"/>
        <w:spacing w:line="360" w:lineRule="auto"/>
        <w:ind w:firstLine="1134"/>
        <w:jc w:val="both"/>
        <w:rPr>
          <w:lang w:val="es-AR" w:eastAsia="es-AR" w:bidi="es-AR"/>
        </w:rPr>
      </w:pPr>
      <w:r>
        <w:rPr>
          <w:lang w:val="es-AR" w:eastAsia="es-AR" w:bidi="es-AR"/>
        </w:rPr>
        <w:t xml:space="preserve">En función de ello, solicita la revocación de la resolución apelada y que se practique una nueva regulación de honorarios tomando como base exclusivamente los porcentajes efectivamente incorporados al sucesorio respecto de los inmuebles mencionados.</w:t>
      </w:r>
    </w:p>
    <w:p>
      <w:pPr>
        <w:pStyle w:val="[Normal]"/>
        <w:spacing w:line="360" w:lineRule="auto"/>
        <w:ind w:firstLine="1134"/>
        <w:jc w:val="both"/>
        <w:rPr>
          <w:lang w:val="es-AR" w:eastAsia="es-AR" w:bidi="es-AR"/>
        </w:rPr>
      </w:pPr>
      <w:r>
        <w:rPr>
          <w:lang w:val="es-AR" w:eastAsia="es-AR" w:bidi="es-AR"/>
        </w:rPr>
        <w:t xml:space="preserve">A su turno el Dr. Pimpinatti sostiene que la base regulatoria propuesta por los recurrentes es errónea, porque omite computar el 10% del inmueble matrícula 4478 de Colón transmitido por la causante Isabel María Atorresi. Explican que Oscar López era titular del 20% de dicho bien y que tras su fallecimiento, ese porcentaje se transmitió en partes iguales a Isabel María Atorresi y a Omar Edilberto López; posteriormente, al fallecer la primera, su 10% pasó también a este último heredero. </w:t>
      </w:r>
    </w:p>
    <w:p>
      <w:pPr>
        <w:pStyle w:val="[Normal]"/>
        <w:spacing w:line="360" w:lineRule="auto"/>
        <w:ind w:firstLine="1134"/>
        <w:jc w:val="both"/>
        <w:rPr>
          <w:lang w:val="es-AR" w:eastAsia="es-AR" w:bidi="es-AR"/>
        </w:rPr>
      </w:pPr>
      <w:r>
        <w:rPr>
          <w:lang w:val="es-AR" w:eastAsia="es-AR" w:bidi="es-AR"/>
        </w:rPr>
        <w:t xml:space="preserve">Afirma que la base arancelaria correcta asciende a $60.703.247,30 y solicitan que cualquier readecuación se practique sobre dicho monto. Asimismo requieren que la regulación de honorarios contemple lo dispuesto por el art. 35 inc. a) de la ley 14.967.</w:t>
      </w:r>
    </w:p>
    <w:p>
      <w:pPr>
        <w:pStyle w:val="[Normal]"/>
        <w:spacing w:line="360" w:lineRule="auto"/>
        <w:ind w:firstLine="1134"/>
        <w:jc w:val="both"/>
        <w:rPr>
          <w:lang w:val="es-AR" w:eastAsia="es-AR" w:bidi="es-AR"/>
        </w:rPr>
      </w:pPr>
      <w:r>
        <w:rPr>
          <w:lang w:val="es-AR" w:eastAsia="es-AR" w:bidi="es-AR"/>
        </w:rPr>
        <w:t xml:space="preserve">Entrando a resolver, debo adelantar que la resolución recurrida no satisface las exigencias de fundamentación impuestas por el art. 15 de la Ley 14.967, circunstancia que impide a este Tribunal ejercer adecuadamente la revisión jurisdiccional propia de la instancia revisora.</w:t>
      </w:r>
    </w:p>
    <w:p>
      <w:pPr>
        <w:pStyle w:val="[Normal]"/>
        <w:spacing w:line="360" w:lineRule="auto"/>
        <w:ind w:firstLine="1134"/>
        <w:jc w:val="both"/>
        <w:rPr>
          <w:lang w:val="es-AR" w:eastAsia="es-AR" w:bidi="es-AR"/>
        </w:rPr>
      </w:pPr>
      <w:r>
        <w:rPr>
          <w:lang w:val="es-AR" w:eastAsia="es-AR" w:bidi="es-AR"/>
        </w:rPr>
        <w:t xml:space="preserve">En efecto, la regulación cuestionada prescinde de individualizar en forma concreta la base económica tomada en consideración para la fijación de los estipendios, omitiendo precisar el valor de los bienes computados así como la cantidad de éstos, extremos que constituyen recaudos indispensables para verificar la corrección del decisorio y la razonabilidad del monto regulado.</w:t>
      </w:r>
    </w:p>
    <w:p>
      <w:pPr>
        <w:pStyle w:val="[Normal]"/>
        <w:spacing w:line="360" w:lineRule="auto"/>
        <w:ind w:firstLine="1134"/>
        <w:jc w:val="both"/>
        <w:rPr>
          <w:lang w:val="es-AR" w:eastAsia="es-AR" w:bidi="es-AR"/>
        </w:rPr>
      </w:pPr>
      <w:r>
        <w:rPr>
          <w:lang w:val="es-AR" w:eastAsia="es-AR" w:bidi="es-AR"/>
        </w:rPr>
        <w:t xml:space="preserve">A ello se añade que el pronunciamiento tampoco explicita la escala arancelaria aplicada ni el porcentual asignado a la labor profesional desarrollada, incumpliendo así con el deber de motivación suficiente que pesa sobre toda resolución judicial en materia de honorarios. </w:t>
      </w:r>
    </w:p>
    <w:p>
      <w:pPr>
        <w:pStyle w:val="[Normal]"/>
        <w:spacing w:line="360" w:lineRule="auto"/>
        <w:ind w:firstLine="1134"/>
        <w:jc w:val="both"/>
        <w:rPr>
          <w:lang w:val="es-AR" w:eastAsia="es-AR" w:bidi="es-AR"/>
        </w:rPr>
      </w:pPr>
      <w:r>
        <w:rPr>
          <w:lang w:val="es-AR" w:eastAsia="es-AR" w:bidi="es-AR"/>
        </w:rPr>
        <w:t xml:space="preserve">Del mismo modo, no se determina con claridad cuáles fueron las tareas efectivamente cumplidas por el profesional interviniente ni la etapa del proceso sucesorio alcanzada por su actuación, circunstancias que resultan esenciales a los fines de ponderar adecuadamente la extensión, calidad y eficacia de la labor desarrollada.</w:t>
      </w:r>
    </w:p>
    <w:p>
      <w:pPr>
        <w:pStyle w:val="[Normal]"/>
        <w:spacing w:line="360" w:lineRule="auto"/>
        <w:ind w:firstLine="1134"/>
        <w:jc w:val="both"/>
        <w:rPr>
          <w:lang w:val="es-AR" w:eastAsia="es-AR" w:bidi="es-AR"/>
        </w:rPr>
      </w:pPr>
      <w:r>
        <w:rPr>
          <w:lang w:val="es-AR" w:eastAsia="es-AR" w:bidi="es-AR"/>
        </w:rPr>
        <w:t xml:space="preserve">Tal déficit argumental no puede ser suplido por esta Alzada sin afectar garantías de raigambre constitucional, en particular el derecho de defensa en juicio y la garantía de la doble instancia, desde que la ausencia de parámetros objetivos y explícitos en la resolución apelada torna materialmente imposible efectuar un control amplio y suficiente sobre la justicia de la regulación practicada.</w:t>
      </w:r>
    </w:p>
    <w:p>
      <w:pPr>
        <w:pStyle w:val="[Normal]"/>
        <w:spacing w:line="360" w:lineRule="auto"/>
        <w:ind w:firstLine="1134"/>
        <w:jc w:val="both"/>
        <w:rPr>
          <w:lang w:val="es-AR" w:eastAsia="es-AR" w:bidi="es-AR"/>
        </w:rPr>
      </w:pPr>
      <w:r>
        <w:rPr>
          <w:lang w:val="es-AR" w:eastAsia="es-AR" w:bidi="es-AR"/>
        </w:rPr>
        <w:t xml:space="preserve">En tales condiciones, aun cuando los agravios del apelante no prosperen estrictamente en los términos en que han sido formulados, razones de debido proceso y adecuada tutela jurisdiccional conducen a propiciar la revocación de la resolución apelada, debiendo remitirse las actuaciones a la instancia de origen a fin de que se dicte un nuevo pronunciamiento ajustado a las prescripciones del art. 15 de la Ley 14.967, con expresa determinación de la base regulatoria utilizada, individualización de los bienes considerados, escala porcentual aplicada, etapas procesales cumplidas y tareas profesionales meritadas (Arts. 15, 16, 27, 35 y ccs. ley 14.967).-</w:t>
      </w:r>
    </w:p>
    <w:p>
      <w:pPr>
        <w:pStyle w:val="[Normal]"/>
        <w:spacing w:line="360" w:lineRule="auto"/>
        <w:ind w:firstLine="1134"/>
        <w:jc w:val="both"/>
        <w:rPr>
          <w:lang w:val="es-AR" w:eastAsia="es-AR" w:bidi="es-AR"/>
        </w:rPr>
      </w:pPr>
      <w:r>
        <w:rPr>
          <w:lang w:val="es-AR" w:eastAsia="es-AR" w:bidi="es-AR"/>
        </w:rPr>
        <w:t xml:space="preserve">Sin costas de Alzada toda vez que la revocación del pronunciamiento obedece a deficiencias propias de la resolución recurrida ajenas a la actuación procesal de los litigantes (Arts. 68 y 69 del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por la parte apelante y, en consecuencia, revocar y dejar sin efecto el decisorio recurrido, debiendo el señor Juez de Primera Instancia interviniente proceder a efectuar una nueva regulación de honorarios con arreglo a las pautas establecidas en los considerandos del presente pronunciamiento.-</w:t>
      </w:r>
    </w:p>
    <w:p>
      <w:pPr>
        <w:pStyle w:val="[Normal]"/>
        <w:spacing w:line="360" w:lineRule="auto"/>
        <w:ind w:firstLine="1134"/>
        <w:jc w:val="both"/>
        <w:rPr>
          <w:lang w:val="es-AR" w:eastAsia="es-AR" w:bidi="es-AR"/>
        </w:rPr>
      </w:pPr>
      <w:r>
        <w:rPr>
          <w:lang w:val="es-AR" w:eastAsia="es-AR" w:bidi="es-AR"/>
        </w:rPr>
        <w:t xml:space="preserve">Sin costas.-</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al recurso de apelación interpuesto por la parte apelante y, en consecuencia, revocar y dejar sin efecto el decisorio recurrido, debiendo el señor Juez de Primera Instancia interviniente proceder a efectuar una nueva regulación de honorarios con arreglo a las pautas establecidas en los considerandos del presente pronunciamiento.-</w:t>
      </w:r>
    </w:p>
    <w:p>
      <w:pPr>
        <w:pStyle w:val="[Normal]"/>
        <w:spacing w:line="360" w:lineRule="auto"/>
        <w:ind w:firstLine="1134"/>
        <w:jc w:val="both"/>
        <w:rPr>
          <w:lang w:val="es-AR" w:eastAsia="es-AR" w:bidi="es-AR"/>
        </w:rPr>
      </w:pPr>
      <w:r>
        <w:rPr>
          <w:lang w:val="es-AR" w:eastAsia="es-AR" w:bidi="es-AR"/>
        </w:rPr>
        <w:t xml:space="preserve">Sin costas.-</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10:14:02 -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10:28:50 -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10:32:54 -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‰9/")è&amp;x6‚ZŠ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251502090006882298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10:33:17 hs. bajo el número RS-96-2026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