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4076-20</w:t>
      </w:r>
      <w:r>
        <w:rPr>
          <w:lang w:val="es-AR" w:eastAsia="es-AR" w:bidi="es-AR"/>
        </w:rPr>
        <w:t xml:space="preserve"> caratulada </w:t>
      </w:r>
      <w:r>
        <w:rPr>
          <w:b/>
          <w:lang w:val="es-AR" w:eastAsia="es-AR" w:bidi="es-AR"/>
        </w:rPr>
        <w:t xml:space="preserve">"</w:t>
      </w:r>
      <w:r>
        <w:rPr>
          <w:b/>
          <w:color w:val="000000"/>
          <w:lang w:val="es-AR" w:eastAsia="es-AR" w:bidi="es-AR"/>
        </w:rPr>
        <w:t xml:space="preserve">GLASINOVICH DANIEL DOMINGO C/ SERVICIOS PORTUARIOS S.A. Y OTROS  S/PRESCRIPCION ADQUISITIVA VICENAL/USUCAPION</w:t>
      </w:r>
      <w:r>
        <w:rPr>
          <w:b/>
          <w:lang w:val="es-AR" w:eastAsia="es-AR" w:bidi="es-AR"/>
        </w:rPr>
        <w:t xml:space="preserve">"</w:t>
      </w:r>
      <w:r>
        <w:rPr>
          <w:lang w:val="es-AR" w:eastAsia="es-AR" w:bidi="es-AR"/>
        </w:rPr>
        <w:t xml:space="preserve">, Expte. N° 75.350 y su acumulada N° 3462-18 caratulada "</w:t>
      </w:r>
      <w:r>
        <w:rPr>
          <w:b/>
          <w:color w:val="000000"/>
          <w:lang w:val="es-AR" w:eastAsia="es-AR" w:bidi="es-AR"/>
        </w:rPr>
        <w:t xml:space="preserve">SERVICIOS PORTUARIOS S.A. C/ GLASINOVICH DANIEL Y OTRO/A S/ DESALOJO (EXCEPTO POR FALTA DE PAGO)</w:t>
      </w:r>
      <w:r>
        <w:rPr>
          <w:color w:val="000000"/>
          <w:lang w:val="es-AR" w:eastAsia="es-AR" w:bidi="es-AR"/>
        </w:rPr>
        <w:t xml:space="preserve">" Expte. N°61.244 ambas </w:t>
      </w:r>
      <w:r>
        <w:rPr>
          <w:lang w:val="es-AR" w:eastAsia="es-AR" w:bidi="es-AR"/>
        </w:rPr>
        <w:t xml:space="preserve">del Juzgado Civil y Comercial N°3,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en causa principal Nro. 65.425 rechazó la demanda de adquisición de dominio por posesión veinteañal que instaurara Daniel Domingo Glasinovich contra Servicios Portuarios S.A. y el síndico de la Quiebra de TA.ME.QU. S.A. Aplicó las costas a la parte actora vencida y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Asimismo, en la causa agregada Nro. 61.244 hizo lugar a la demanda de desalojo promovida por Servicios Portuarios S.A y, consecuentemente, condenó a Daniel Domingo Glasinovich a restituir a la parte actora, dentro del término de diez días de quedar firme la presente, el inmueble ubicado en la Ruta Nacional Nro. 8. Km 211,400, Barrio La Amalia, de la ciudad de Pergamino, libre de toda ocupación, bajo apercibimiento de disponer el desalojo con intervención de la fuerza pública. Impuso las costas a la demandada vencida, dispuso medidas de intervención y asistencia social respecto del grupo familiar ocupante ante la eventual ejecución del desalojo y difirió la regulación de honorarios de los profesionales intervinientes.</w:t>
      </w:r>
    </w:p>
    <w:p>
      <w:pPr>
        <w:pStyle w:val="[Normal]"/>
        <w:spacing w:line="360" w:lineRule="auto"/>
        <w:ind w:firstLine="1134"/>
        <w:jc w:val="both"/>
        <w:rPr>
          <w:lang w:val="es-AR" w:eastAsia="es-AR" w:bidi="es-AR"/>
        </w:rPr>
      </w:pPr>
      <w:r>
        <w:rPr>
          <w:lang w:val="es-AR" w:eastAsia="es-AR" w:bidi="es-AR"/>
        </w:rPr>
        <w:t xml:space="preserve">Disconforme con lo resuelto, interpuso recurso de apelación el apoderado de la parte actora en fecha 19-2-2026, quien expresa agravios el 13-3-2026, habiendo Servicios Portuarios S.A contestado el traslado conferido el 31-3-2026.-</w:t>
      </w:r>
    </w:p>
    <w:p>
      <w:pPr>
        <w:pStyle w:val="[Normal]"/>
        <w:spacing w:line="360" w:lineRule="auto"/>
        <w:ind w:firstLine="1134"/>
        <w:jc w:val="both"/>
        <w:rPr>
          <w:lang w:val="es-AR" w:eastAsia="es-AR" w:bidi="es-AR"/>
        </w:rPr>
      </w:pPr>
      <w:r>
        <w:rPr>
          <w:lang w:val="es-AR" w:eastAsia="es-AR" w:bidi="es-AR"/>
        </w:rPr>
        <w:t xml:space="preserve">En fecha 7-4-2026 se dicta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agravia el Sr. Daniel Domingo Glasinovich del rechazo de la demanda de prescripción adquisitiva, sosteniendo que la sentencia aplicó erróneamente las normas que regulan la usucapión y la posesión veinteañal, al desconocer la acreditación de una posesión pública, pacífica, continua e ininterrumpida durante más de veinte años con ánimo de dueño.</w:t>
      </w:r>
    </w:p>
    <w:p>
      <w:pPr>
        <w:pStyle w:val="[Normal]"/>
        <w:spacing w:line="360" w:lineRule="auto"/>
        <w:ind w:firstLine="1134"/>
        <w:jc w:val="both"/>
        <w:rPr>
          <w:lang w:val="es-AR" w:eastAsia="es-AR" w:bidi="es-AR"/>
        </w:rPr>
      </w:pPr>
      <w:r>
        <w:rPr>
          <w:lang w:val="es-AR" w:eastAsia="es-AR" w:bidi="es-AR"/>
        </w:rPr>
        <w:t xml:space="preserve">Cuestiona la valoración de la prueba producida en autos, en particular la testimonial, documental y pericial, alegando que el sentenciante efectuó un análisis fragmentario y aislado de los distintos elementos probatorios, apartándose de las reglas de la sana crítica y de la doctrina legal aplicable en la materia.</w:t>
      </w:r>
    </w:p>
    <w:p>
      <w:pPr>
        <w:pStyle w:val="[Normal]"/>
        <w:spacing w:line="360" w:lineRule="auto"/>
        <w:ind w:firstLine="1134"/>
        <w:jc w:val="both"/>
        <w:rPr>
          <w:lang w:val="es-AR" w:eastAsia="es-AR" w:bidi="es-AR"/>
        </w:rPr>
      </w:pPr>
      <w:r>
        <w:rPr>
          <w:lang w:val="es-AR" w:eastAsia="es-AR" w:bidi="es-AR"/>
        </w:rPr>
        <w:t xml:space="preserve">Sostiene que se encuentra acreditada la realización de numerosos actos posesorios sobre el inmueble (mejoras, cercamiento, mantenimiento, ampliación de la vivienda, explotación del predio y pago de impuestos y servicios), los que, apreciados en conjunto, demostrarían el ejercicio de la posesión con ánimo de dueño.</w:t>
      </w:r>
    </w:p>
    <w:p>
      <w:pPr>
        <w:pStyle w:val="[Normal]"/>
        <w:spacing w:line="360" w:lineRule="auto"/>
        <w:ind w:firstLine="1134"/>
        <w:jc w:val="both"/>
        <w:rPr>
          <w:lang w:val="es-AR" w:eastAsia="es-AR" w:bidi="es-AR"/>
        </w:rPr>
      </w:pPr>
      <w:r>
        <w:rPr>
          <w:lang w:val="es-AR" w:eastAsia="es-AR" w:bidi="es-AR"/>
        </w:rPr>
        <w:t xml:space="preserve">Se queja del progreso de la acción de desalojo, argumentando que Servicios Portuarios S.A. carecía de legitimación para promoverla por no haber tenido nunca la posesión efectiva del inmueble, afirmando que la vía adecuada para debatir el conflicto era la acción reivindicatoria y no el desalojo.</w:t>
      </w:r>
    </w:p>
    <w:p>
      <w:pPr>
        <w:pStyle w:val="[Normal]"/>
        <w:spacing w:line="360" w:lineRule="auto"/>
        <w:ind w:firstLine="1134"/>
        <w:jc w:val="both"/>
        <w:rPr>
          <w:lang w:val="es-AR" w:eastAsia="es-AR" w:bidi="es-AR"/>
        </w:rPr>
      </w:pPr>
      <w:r>
        <w:rPr>
          <w:lang w:val="es-AR" w:eastAsia="es-AR" w:bidi="es-AR"/>
        </w:rPr>
        <w:t xml:space="preserve">Refiere que la sentencia omitió ponderar que los titulares del inmueble jamás ejercieron actos posesorios ni promovieron acción reivindicatoria alguna durante décadas, circunstancia que evidencia el abandono del bien y corroboraría la prescripción adquisitiva invocada.</w:t>
      </w:r>
    </w:p>
    <w:p>
      <w:pPr>
        <w:pStyle w:val="[Normal]"/>
        <w:spacing w:line="360" w:lineRule="auto"/>
        <w:ind w:firstLine="1134"/>
        <w:jc w:val="both"/>
        <w:rPr>
          <w:lang w:val="es-AR" w:eastAsia="es-AR" w:bidi="es-AR"/>
        </w:rPr>
      </w:pPr>
      <w:r>
        <w:rPr>
          <w:lang w:val="es-AR" w:eastAsia="es-AR" w:bidi="es-AR"/>
        </w:rPr>
        <w:t xml:space="preserve">Critica la conclusión del fallo que calificó su ocupación como mera tenencia derivada de una relación de cuidado del inmueble, sosteniendo que no existe prueba de subordinación, control o contraprestación compatible con la figura de “cuidador”.</w:t>
      </w:r>
    </w:p>
    <w:p>
      <w:pPr>
        <w:pStyle w:val="[Normal]"/>
        <w:spacing w:line="360" w:lineRule="auto"/>
        <w:ind w:firstLine="1134"/>
        <w:jc w:val="both"/>
        <w:rPr>
          <w:lang w:val="es-AR" w:eastAsia="es-AR" w:bidi="es-AR"/>
        </w:rPr>
      </w:pPr>
      <w:r>
        <w:rPr>
          <w:lang w:val="es-AR" w:eastAsia="es-AR" w:bidi="es-AR"/>
        </w:rPr>
        <w:t xml:space="preserve">En esa línea, sostiene que se efectuó una errónea interpretación de la interversión del título, afirmando que aún cuando su ingreso al inmueble hubiese tenido origen en una relación de tenencia, los actos exteriores, públicos e inequívocos desarrollados durante décadas (sin oposición ni control alguno por parte de los titulares) evidencian la mutación de dicha relación en una verdadera posesión con ánimo de dueño.</w:t>
      </w:r>
    </w:p>
    <w:p>
      <w:pPr>
        <w:pStyle w:val="[Normal]"/>
        <w:spacing w:line="360" w:lineRule="auto"/>
        <w:ind w:firstLine="1134"/>
        <w:jc w:val="both"/>
        <w:rPr>
          <w:lang w:val="es-AR" w:eastAsia="es-AR" w:bidi="es-AR"/>
        </w:rPr>
      </w:pPr>
      <w:r>
        <w:rPr>
          <w:lang w:val="es-AR" w:eastAsia="es-AR" w:bidi="es-AR"/>
        </w:rPr>
        <w:t xml:space="preserve">Afirma que el pronunciamiento se aparta de la denominada “verdad jurídica objetiva”, al prescindir de elementos relevantes incorporados a la causa y arribar  a conclusiones dogmáticas que no se compadecen con las constancias probatorias del expediente.-</w:t>
      </w:r>
    </w:p>
    <w:p>
      <w:pPr>
        <w:pStyle w:val="[Normal]"/>
        <w:spacing w:line="360" w:lineRule="auto"/>
        <w:ind w:firstLine="1134"/>
        <w:jc w:val="both"/>
        <w:rPr>
          <w:lang w:val="es-AR" w:eastAsia="es-AR" w:bidi="es-AR"/>
        </w:rPr>
      </w:pPr>
      <w:r>
        <w:rPr>
          <w:lang w:val="es-AR" w:eastAsia="es-AR" w:bidi="es-AR"/>
        </w:rPr>
        <w:t xml:space="preserve">Finalmente, solicita se deje sin efecto el fallo impugnado y se declare prescripto a su favor el inmueble identificado en autos.-</w:t>
      </w:r>
    </w:p>
    <w:p>
      <w:pPr>
        <w:pStyle w:val="[Normal]"/>
        <w:spacing w:line="360" w:lineRule="auto"/>
        <w:ind w:firstLine="1134"/>
        <w:jc w:val="both"/>
        <w:rPr>
          <w:lang w:val="es-AR" w:eastAsia="es-AR" w:bidi="es-AR"/>
        </w:rPr>
      </w:pPr>
      <w:r>
        <w:rPr>
          <w:lang w:val="es-AR" w:eastAsia="es-AR" w:bidi="es-AR"/>
        </w:rPr>
        <w:t xml:space="preserve">A su turno Servicios Portuarios S.A solicita se declare desierto el recurso de apelación interpuesto por Glasinovich</w:t>
      </w:r>
      <w:r>
        <w:rPr>
          <w:b/>
          <w:lang w:val="es-AR" w:eastAsia="es-AR" w:bidi="es-AR"/>
        </w:rPr>
        <w:t xml:space="preserve">.</w:t>
      </w:r>
      <w:r>
        <w:rPr>
          <w:lang w:val="es-AR" w:eastAsia="es-AR" w:bidi="es-AR"/>
        </w:rPr>
        <w:t xml:space="preserve"> Subsidiariamente, contesta los agravios formulados, rebate los argumentos expuestos por la recurrente y pide se confirme la sentencia apelada con costas.</w:t>
      </w:r>
    </w:p>
    <w:p>
      <w:pPr>
        <w:pStyle w:val="[Normal]"/>
        <w:spacing w:line="360" w:lineRule="auto"/>
        <w:ind w:firstLine="1134"/>
        <w:jc w:val="both"/>
        <w:rPr>
          <w:lang w:val="es-AR" w:eastAsia="es-AR" w:bidi="es-AR"/>
        </w:rPr>
      </w:pPr>
      <w:r>
        <w:rPr>
          <w:color w:val="000000"/>
          <w:lang w:val="es-AR" w:eastAsia="es-AR" w:bidi="es-AR"/>
        </w:rPr>
        <w:t xml:space="preserve">Liminarmente, en relación a la cuestión introducida expresamente por Servicios Portuarios S.A en su responde relativa al incumplimiento de los recaudos establecidos por el art. 260 del CPCC</w:t>
      </w:r>
      <w:r>
        <w:rPr>
          <w:lang w:val="es-AR" w:eastAsia="es-AR" w:bidi="es-AR"/>
        </w:rPr>
        <w:t xml:space="preserve">, cabe señalar que de la lectura del memorial arrimado por la actora se advierte una crítica del fallo apelado que logra superar las exigencias técnicas previstas por el ritual en la materia, por lo que abastece el tratamiento del remedio recursivo.-</w:t>
      </w:r>
    </w:p>
    <w:p>
      <w:pPr>
        <w:pStyle w:val="[Normal]"/>
        <w:spacing w:line="360" w:lineRule="auto"/>
        <w:ind w:firstLine="1134"/>
        <w:jc w:val="both"/>
        <w:rPr>
          <w:lang w:val="es-AR" w:eastAsia="es-AR" w:bidi="es-AR"/>
        </w:rPr>
      </w:pPr>
      <w:r>
        <w:rPr>
          <w:lang w:val="es-AR" w:eastAsia="es-AR" w:bidi="es-AR"/>
        </w:rPr>
        <w:t xml:space="preserve">Sentado ello y entrando a resolver, corresponde destacar que el instituto de la prescripción adquisitiva exige una valoración estricta y rigurosa de la prueba, conforme reiterada doctrina de la Suprema Corte de la Provincia de Buenos Aires (cfr. SCBA, causa C 98364 del 11/03/2009; causa C 98183 del 11/11/2009).</w:t>
      </w:r>
    </w:p>
    <w:p>
      <w:pPr>
        <w:pStyle w:val="[Normal]"/>
        <w:spacing w:line="360" w:lineRule="auto"/>
        <w:ind w:firstLine="1134"/>
        <w:jc w:val="both"/>
        <w:rPr>
          <w:lang w:val="es-AR" w:eastAsia="es-AR" w:bidi="es-AR"/>
        </w:rPr>
      </w:pPr>
      <w:r>
        <w:rPr>
          <w:lang w:val="es-AR" w:eastAsia="es-AR" w:bidi="es-AR"/>
        </w:rPr>
        <w:t xml:space="preserve"> Así, los extremos requeridos para viabilizar la acción de usucapión son la existencia del corpus, entendido como el ejercicio del poder de hecho, de señorío sobre una cosa; del animus, es decir, de la intención de mantener la cosa para sí; y el mantenimiento de ambos requisitos durante el plazo requerido por ley, en forma pública y pacífica (CC0001 Lz 61653 RSD-154-6 S 20-6-2006 I JUBA B2550662).</w:t>
      </w:r>
    </w:p>
    <w:p>
      <w:pPr>
        <w:pStyle w:val="[Normal]"/>
        <w:spacing w:line="360" w:lineRule="auto"/>
        <w:ind w:firstLine="1134"/>
        <w:jc w:val="both"/>
        <w:rPr>
          <w:lang w:val="es-AR" w:eastAsia="es-AR" w:bidi="es-AR"/>
        </w:rPr>
      </w:pPr>
      <w:r>
        <w:rPr>
          <w:lang w:val="es-AR" w:eastAsia="es-AR" w:bidi="es-AR"/>
        </w:rPr>
        <w:t xml:space="preserve">Por razones metodológicas, los agravios vertidos por la recurrente serán tratados en forma conjunta, en tanto todos ellos se encuentran estrechamente vinculados con la cuestión central debatida en autos. Tal conexidad argumental impide un análisis separado sin riesgo de incurrir en reiteraciones innecesarias de cuestiones que integran un mismo núcleo temático.</w:t>
      </w:r>
    </w:p>
    <w:p>
      <w:pPr>
        <w:pStyle w:val="[Normal]"/>
        <w:spacing w:line="360" w:lineRule="auto"/>
        <w:ind w:firstLine="1134"/>
        <w:jc w:val="both"/>
        <w:rPr>
          <w:lang w:val="es-AR" w:eastAsia="es-AR" w:bidi="es-AR"/>
        </w:rPr>
      </w:pPr>
      <w:r>
        <w:rPr>
          <w:lang w:val="es-AR" w:eastAsia="es-AR" w:bidi="es-AR"/>
        </w:rPr>
        <w:t xml:space="preserve">Corresponde efectuar un tratamiento diferenciado (al finalizar el análisis de las restantes cuestiones sometidas a revisión) únicamente respecto de los agravios vinculados, por un lado, con la alegada falta de legitimación activa de Servicios Portuarios S.A. para promover la presente acción de desalojo y por otro, con el planteo relativo a la improcedencia de dicha vía procesal bajo el argumento de que la pretensión debió canalizarse mediante una acción reivindicatoria.-</w:t>
      </w:r>
    </w:p>
    <w:p>
      <w:pPr>
        <w:pStyle w:val="[Normal]"/>
        <w:spacing w:line="360" w:lineRule="auto"/>
        <w:ind w:firstLine="1134"/>
        <w:jc w:val="both"/>
        <w:rPr>
          <w:lang w:val="es-AR" w:eastAsia="es-AR" w:bidi="es-AR"/>
        </w:rPr>
      </w:pPr>
      <w:r>
        <w:rPr>
          <w:lang w:val="es-AR" w:eastAsia="es-AR" w:bidi="es-AR"/>
        </w:rPr>
        <w:t xml:space="preserve">Tal como lo señaló el sentenciante, y no ha sido eficazmente desvirtuado en esta instancia, se encuentra acreditado que el actor ocupó el inmueble en calidad de cuidador del predio perteneciente a TAMEQU S.A., situación que posteriormente continuó respecto de la adjudicataria en subasta, Servicios Portuarios S.A.</w:t>
      </w:r>
    </w:p>
    <w:p>
      <w:pPr>
        <w:pStyle w:val="[Normal]"/>
        <w:spacing w:line="360" w:lineRule="auto"/>
        <w:ind w:firstLine="1134"/>
        <w:jc w:val="both"/>
        <w:rPr>
          <w:lang w:val="es-AR" w:eastAsia="es-AR" w:bidi="es-AR"/>
        </w:rPr>
      </w:pPr>
      <w:r>
        <w:rPr>
          <w:lang w:val="es-AR" w:eastAsia="es-AR" w:bidi="es-AR"/>
        </w:rPr>
        <w:t xml:space="preserve">Frente a tal plataforma fáctica, resultaba indispensable acreditar no sólo actos materiales sobre la cosa, sino además la concreta mutación del vínculo jurídico originario, mediante actos exteriores inequívocos de oposición al derecho del titular y reveladores de una voluntad posesoria excluyente.-</w:t>
      </w:r>
    </w:p>
    <w:p>
      <w:pPr>
        <w:pStyle w:val="[Normal]"/>
        <w:spacing w:line="360" w:lineRule="auto"/>
        <w:ind w:firstLine="1134"/>
        <w:jc w:val="both"/>
        <w:rPr>
          <w:lang w:val="es-AR" w:eastAsia="es-AR" w:bidi="es-AR"/>
        </w:rPr>
      </w:pPr>
      <w:r>
        <w:rPr>
          <w:lang w:val="es-AR" w:eastAsia="es-AR" w:bidi="es-AR"/>
        </w:rPr>
        <w:t xml:space="preserve">El apelante sostiene que la quiebra de TAMEQU S.A. y el abandono del inmueble habrían producido automáticamente la mutación de la tenencia en posesión. Sin embargo, tal razonamiento desconoce el principio de inmutabilidad de la causa de la relación de poder.-</w:t>
      </w:r>
    </w:p>
    <w:p>
      <w:pPr>
        <w:pStyle w:val="[Normal]"/>
        <w:spacing w:line="360" w:lineRule="auto"/>
        <w:ind w:firstLine="1134"/>
        <w:jc w:val="both"/>
        <w:rPr>
          <w:lang w:val="es-AR" w:eastAsia="es-AR" w:bidi="es-AR"/>
        </w:rPr>
      </w:pPr>
      <w:r>
        <w:rPr>
          <w:lang w:val="es-AR" w:eastAsia="es-AR" w:bidi="es-AR"/>
        </w:rPr>
        <w:t xml:space="preserve">Para que el tenedor se transforme en poseedor debe exteriorizar su intención a través de actos materiales, concluyentes e inequívocos, que tengan por objeto privar al poseedor de disponer de la cosa. Esos actos deben afirmar la posesión del que los realiza y negar la posesión del anterior poseedor.-</w:t>
      </w:r>
    </w:p>
    <w:p>
      <w:pPr>
        <w:pStyle w:val="[Normal]"/>
        <w:spacing w:line="360" w:lineRule="auto"/>
        <w:ind w:firstLine="1134"/>
        <w:jc w:val="both"/>
        <w:rPr>
          <w:lang w:val="es-AR" w:eastAsia="es-AR" w:bidi="es-AR"/>
        </w:rPr>
      </w:pPr>
      <w:r>
        <w:rPr>
          <w:lang w:val="es-AR" w:eastAsia="es-AR" w:bidi="es-AR"/>
        </w:rPr>
        <w:t xml:space="preserve">Este instituto debe interpretarse con criterio restrictivo porque no es posible avalar el abuso de la buena fe de quien da en préstamo gratuitamente un inmueble o parte de él.-</w:t>
      </w:r>
    </w:p>
    <w:p>
      <w:pPr>
        <w:pStyle w:val="[Normal]"/>
        <w:spacing w:line="360" w:lineRule="auto"/>
        <w:ind w:firstLine="1134"/>
        <w:jc w:val="both"/>
        <w:rPr>
          <w:lang w:val="es-AR" w:eastAsia="es-AR" w:bidi="es-AR"/>
        </w:rPr>
      </w:pPr>
      <w:r>
        <w:rPr>
          <w:lang w:val="es-AR" w:eastAsia="es-AR" w:bidi="es-AR"/>
        </w:rPr>
        <w:t xml:space="preserve">En efecto, las constancias provenientes del expediente de concurso especial, el edicto de remate de 1994 y el mandamiento de posesión diligenciado en 2012 dan cuenta de manera coincidente de que el actor y su grupo familiar habitaban el inmueble “en carácter de cuidadores”. A ello se suman las declaraciones testimoniales, cuyos dichos corroboran que Glasinovich permanecía en el lugar vinculado originariamente a tareas de custodia y mantenimiento.-</w:t>
      </w:r>
    </w:p>
    <w:p>
      <w:pPr>
        <w:pStyle w:val="[Normal]"/>
        <w:spacing w:line="360" w:lineRule="auto"/>
        <w:ind w:firstLine="1134"/>
        <w:jc w:val="both"/>
        <w:rPr>
          <w:lang w:val="es-AR" w:eastAsia="es-AR" w:bidi="es-AR"/>
        </w:rPr>
      </w:pPr>
      <w:r>
        <w:rPr>
          <w:lang w:val="es-AR" w:eastAsia="es-AR" w:bidi="es-AR"/>
        </w:rPr>
        <w:t xml:space="preserve">Asimismo, de las mismas declaraciones testimoniales rendidas en autos, brindadas por Michetti, Dorrego y Del Río, se desprende que el Sr. Glasinovich realizó diversas tareas de mantenimiento y aprovechamiento del inmueble, tales como conservar el predio limpio, efectuar mejoras externas en la vivienda, reparar y mantener sectores alambrados, criar animales y utilizar un galpón trasero para guarda de camiones.</w:t>
      </w:r>
    </w:p>
    <w:p>
      <w:pPr>
        <w:pStyle w:val="[Normal]"/>
        <w:spacing w:line="360" w:lineRule="auto"/>
        <w:ind w:firstLine="1134"/>
        <w:jc w:val="both"/>
        <w:rPr>
          <w:lang w:val="es-AR" w:eastAsia="es-AR" w:bidi="es-AR"/>
        </w:rPr>
      </w:pPr>
      <w:r>
        <w:rPr>
          <w:lang w:val="es-AR" w:eastAsia="es-AR" w:bidi="es-AR"/>
        </w:rPr>
        <w:t xml:space="preserve">Debo recordar que las declaraciones testimoniales, evaluadas a la luz de la sana crítica, son sumamente importantes para resolver la cuestión, por cuanto los testigos dan cuenta del conocimiento personal de los actos posesorios que aluden realizados.-</w:t>
      </w:r>
    </w:p>
    <w:p>
      <w:pPr>
        <w:pStyle w:val="[Normal]"/>
        <w:spacing w:line="360" w:lineRule="auto"/>
        <w:ind w:firstLine="1134"/>
        <w:jc w:val="both"/>
        <w:rPr>
          <w:lang w:val="es-AR" w:eastAsia="es-AR" w:bidi="es-AR"/>
        </w:rPr>
      </w:pPr>
      <w:r>
        <w:rPr>
          <w:lang w:val="es-AR" w:eastAsia="es-AR" w:bidi="es-AR"/>
        </w:rPr>
        <w:t xml:space="preserve">Sin embargo, la prueba testimonial es insuficiente por sí sola para acoger la demanda de usucapión, por lo que es preciso confrontar o ratificar lo dichos de los testigos con otras pruebas que reflejen esos mismos hechos, es decir, que acrediten sus referencias. Y aun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veinteñal (CC0203 LP 116305 RSD-25-18 S 06/03/2018 JUBA B355820).-</w:t>
      </w:r>
    </w:p>
    <w:p>
      <w:pPr>
        <w:pStyle w:val="[Normal]"/>
        <w:spacing w:line="360" w:lineRule="auto"/>
        <w:ind w:firstLine="1134"/>
        <w:jc w:val="both"/>
        <w:rPr>
          <w:lang w:val="es-AR" w:eastAsia="es-AR" w:bidi="es-AR"/>
        </w:rPr>
      </w:pPr>
      <w:r>
        <w:rPr>
          <w:lang w:val="es-AR" w:eastAsia="es-AR" w:bidi="es-AR"/>
        </w:rPr>
        <w:t xml:space="preserve">En esta línea de ideas, corresponde señalar que de la pericia arquitectónica practicada el 14-4-2025 surge la constatación de diversas reformas edilicias, cuya antigüedad fue estimada entre ocho y diez años. Sin embargo, dicha circunstancia, por sí sola, resulta insuficiente para tener por acreditado, con el grado de convicción exigible, el plazo de posesión invocado por el actor a los fines de la prescripción adquisitiva.</w:t>
      </w:r>
    </w:p>
    <w:p>
      <w:pPr>
        <w:pStyle w:val="[Normal]"/>
        <w:spacing w:line="360" w:lineRule="auto"/>
        <w:ind w:firstLine="1134"/>
        <w:jc w:val="both"/>
        <w:rPr>
          <w:lang w:val="es-AR" w:eastAsia="es-AR" w:bidi="es-AR"/>
        </w:rPr>
      </w:pPr>
      <w:r>
        <w:rPr>
          <w:lang w:val="es-AR" w:eastAsia="es-AR" w:bidi="es-AR"/>
        </w:rPr>
        <w:t xml:space="preserve">En efecto, si el propio accionante sostuvo haber iniciado la posesión del inmueble desde hace más de 30 años, las mejoras constatadas, por su relativa cercanía temporal, no constituyen un elemento probatorio idóneo para demostrar el ejercicio de una posesión pública, pacífica, continua e ininterrumpida durante la totalidad del plazo legal requerido.</w:t>
      </w:r>
    </w:p>
    <w:p>
      <w:pPr>
        <w:pStyle w:val="[Normal]"/>
        <w:spacing w:line="360" w:lineRule="auto"/>
        <w:ind w:firstLine="1134"/>
        <w:jc w:val="both"/>
        <w:rPr>
          <w:lang w:val="es-AR" w:eastAsia="es-AR" w:bidi="es-AR"/>
        </w:rPr>
      </w:pPr>
      <w:r>
        <w:rPr>
          <w:lang w:val="es-AR" w:eastAsia="es-AR" w:bidi="es-AR"/>
        </w:rPr>
        <w:t xml:space="preserve">A ello se suma que no obra en autos prueba documental (facturas, recibos, tickets o comprobantes de adquisición de materiales o contratación de mano de obra) que permita acreditar que dichas mejoras fueron realizadas por el actor o estuvieron a su cargo, circunstancia que impide atribuirles eficacia probatoria para corroborar el extremo invocado.-</w:t>
      </w:r>
    </w:p>
    <w:p>
      <w:pPr>
        <w:pStyle w:val="[Normal]"/>
        <w:spacing w:line="360" w:lineRule="auto"/>
        <w:ind w:firstLine="1134"/>
        <w:jc w:val="both"/>
        <w:rPr>
          <w:lang w:val="es-AR" w:eastAsia="es-AR" w:bidi="es-AR"/>
        </w:rPr>
      </w:pPr>
      <w:r>
        <w:rPr>
          <w:lang w:val="es-AR" w:eastAsia="es-AR" w:bidi="es-AR"/>
        </w:rPr>
        <w:t xml:space="preserve">Del mismo modo, tales mejoras no aparecen acompañadas de actos inequívocos reveladores de una interversión del título, ni de conductas objetivamente demostrativas de la exclusión del titular dominial o de una exteriorización clara, concluyente e inequívoca de la voluntad de ejercer la posesión en nombre propio, extremos cuya acreditación reviste particular trascendencia en supuestos como el examinado.</w:t>
      </w:r>
    </w:p>
    <w:p>
      <w:pPr>
        <w:pStyle w:val="[Normal]"/>
        <w:spacing w:line="360" w:lineRule="auto"/>
        <w:ind w:firstLine="1134"/>
        <w:jc w:val="both"/>
        <w:rPr>
          <w:lang w:val="es-AR" w:eastAsia="es-AR" w:bidi="es-AR"/>
        </w:rPr>
      </w:pPr>
      <w:r>
        <w:rPr>
          <w:lang w:val="es-AR" w:eastAsia="es-AR" w:bidi="es-AR"/>
        </w:rPr>
        <w:t xml:space="preserve">En lo que respecta al pago de impuestos y demás cargas inherentes al inmueble, se advierte cierto déficit probatorio por parte de la actora, en tanto únicamente acompañó constancias relativas al servicio de energía eléctrica, sin aportar documentación que permita acreditar el cumplimiento de otras obligaciones tributarias o tasas vinculadas al bien objeto de autos.</w:t>
      </w:r>
    </w:p>
    <w:p>
      <w:pPr>
        <w:pStyle w:val="[Normal]"/>
        <w:spacing w:line="360" w:lineRule="auto"/>
        <w:ind w:firstLine="1134"/>
        <w:jc w:val="both"/>
        <w:rPr>
          <w:lang w:val="es-AR" w:eastAsia="es-AR" w:bidi="es-AR"/>
        </w:rPr>
      </w:pPr>
      <w:r>
        <w:rPr>
          <w:lang w:val="es-AR" w:eastAsia="es-AR" w:bidi="es-AR"/>
        </w:rPr>
        <w:t xml:space="preserve">Al respecto se ha dicho jurisprudencialmente </w:t>
      </w:r>
      <w:r>
        <w:rPr>
          <w:i/>
          <w:lang w:val="es-AR" w:eastAsia="es-AR" w:bidi="es-AR"/>
        </w:rPr>
        <w:t xml:space="preserve">"El pago de servicios por sí solo no es suficiente para tener por adquirido el dominio por usucapión, dándose especial consideración al pago de impuestos y tasas que graven al inmueble (art. 24 ley 14.159)"</w:t>
      </w:r>
      <w:r>
        <w:rPr>
          <w:lang w:val="es-AR" w:eastAsia="es-AR" w:bidi="es-AR"/>
        </w:rPr>
        <w:t xml:space="preserve"> (CC0202 LP 125323 RSD 170/19 S 01/07/2019 JUBA B5062579).-</w:t>
      </w:r>
    </w:p>
    <w:p>
      <w:pPr>
        <w:pStyle w:val="[Normal]"/>
        <w:spacing w:line="360" w:lineRule="auto"/>
        <w:ind w:firstLine="1134"/>
        <w:jc w:val="both"/>
        <w:rPr>
          <w:i/>
          <w:lang w:val="es-AR" w:eastAsia="es-AR" w:bidi="es-AR"/>
        </w:rPr>
      </w:pPr>
      <w:r>
        <w:rPr>
          <w:lang w:val="es-AR" w:eastAsia="es-AR" w:bidi="es-AR"/>
        </w:rPr>
        <w:t xml:space="preserve">Por el contrario como se ha sostenido </w:t>
      </w:r>
      <w:r>
        <w:rPr>
          <w:i/>
          <w:lang w:val="es-AR" w:eastAsia="es-AR" w:bidi="es-AR"/>
        </w:rPr>
        <w:t xml:space="preserve">"El pago de los impuestos constituye una exteriorización del "animus rem sibi habendi", no hace más que exteriorizar el "animus domini" y una forma de probarlo es, evidentemente, acreditar que el poseedor se comportó como lo hace habitualmente un propietario, o sea, pagando, más o menos regularmente los gravámenes que afectan al inmueble. El pago de las obligaciones fiscales sirve así para comprobar el ánimo de dueño que tiene el ocupante y no el transcurso del término legal de prescripción, resultando en consecuencia admisible que no tenga una antigüedad que se remonte a todo el lapso de la usucapión, bastando que se ubique en algún momento bastante anterior a la demanda.</w:t>
      </w:r>
      <w:r>
        <w:rPr>
          <w:lang w:val="es-AR" w:eastAsia="es-AR" w:bidi="es-AR"/>
        </w:rPr>
        <w:t xml:space="preserve"> </w:t>
      </w:r>
      <w:r>
        <w:rPr>
          <w:i/>
          <w:lang w:val="es-AR" w:eastAsia="es-AR" w:bidi="es-AR"/>
        </w:rPr>
        <w:t xml:space="preserve">(CC0002 SM 57067 RSD-83-6 S 18/04/2006 JUBA 2004134).-</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lang w:val="es-AR" w:eastAsia="es-AR" w:bidi="es-AR"/>
        </w:rPr>
      </w:pPr>
      <w:r>
        <w:rPr>
          <w:rFonts w:ascii="Arial" w:hAnsi="Arial" w:eastAsia="Arial" w:cs="Arial"/>
          <w:sz w:val="24"/>
          <w:lang w:val="es-AR" w:eastAsia="es-AR" w:bidi="es-AR"/>
        </w:rPr>
        <w:t xml:space="preserve">Del análisis integral de la prueba producida en autos no surge acreditado acto posesorio alguno por parte de los actores que revele la intención de ejercer un poder de hecho con exclusión de los verdaderos titulares del dominio. La vinculación de los actores con el inmueble se mantuvo dentro de los márgenes propios de una tenencia, sin haberse demostrado interversión del título conforme los requisitos legales. La prueba testimonial carece de suficiente respaldo documental y los pocos elementos incorporados (servicio eléctrico) no alcanzan para acreditar la posesión continua, pública y pacífica por el plazo legal (Arts. 2351, 2353, 2358, 4015, 4016,  C.C; Arts. 375, 384 y ccts CPCC).-</w:t>
      </w:r>
    </w:p>
    <w:p>
      <w:pPr>
        <w:pStyle w:val="[Normal]"/>
        <w:spacing w:line="360" w:lineRule="auto"/>
        <w:ind w:firstLine="1134"/>
        <w:jc w:val="both"/>
        <w:rPr>
          <w:lang w:val="es-AR" w:eastAsia="es-AR" w:bidi="es-AR"/>
        </w:rPr>
      </w:pPr>
      <w:r>
        <w:rPr>
          <w:lang w:val="es-AR" w:eastAsia="es-AR" w:bidi="es-AR"/>
        </w:rPr>
        <w:t xml:space="preserve">La suerte adversa de los agravios examinados ut supra sobre la posesión alegada por el actor en el bien sellan la suerte adversa que corresponde otorgar a los planteas ahora bajo análisis.-</w:t>
      </w:r>
    </w:p>
    <w:p>
      <w:pPr>
        <w:pStyle w:val="[Normal]"/>
        <w:spacing w:line="360" w:lineRule="auto"/>
        <w:ind w:firstLine="1134"/>
        <w:jc w:val="both"/>
        <w:rPr>
          <w:lang w:val="es-AR" w:eastAsia="es-AR" w:bidi="es-AR"/>
        </w:rPr>
      </w:pPr>
      <w:r>
        <w:rPr>
          <w:lang w:val="es-AR" w:eastAsia="es-AR" w:bidi="es-AR"/>
        </w:rPr>
        <w:t xml:space="preserve">En efecto, el recurrente insiste en que Servicios Portuarios S.A carecía de legitimación activa para promover el desalojo y que en razón de la naturaleza de la situación jurídica existente respecto del inmueble la vía adecuada hubiera sido la acción reivindicatoria. Sin embargo, y como ya he referido ambos cuestionamientos descansan sobre una premisa que ha sido descartada al tratar la pretensión de prescripción adquisitiva.-</w:t>
      </w:r>
    </w:p>
    <w:p>
      <w:pPr>
        <w:pStyle w:val="[Normal]"/>
        <w:spacing w:line="360" w:lineRule="auto"/>
        <w:ind w:firstLine="1134"/>
        <w:jc w:val="both"/>
        <w:rPr>
          <w:lang w:val="es-AR" w:eastAsia="es-AR" w:bidi="es-AR"/>
        </w:rPr>
      </w:pPr>
      <w:r>
        <w:rPr>
          <w:lang w:val="es-AR" w:eastAsia="es-AR" w:bidi="es-AR"/>
        </w:rPr>
        <w:t xml:space="preserve">Como se ha resuelto, “No procede el desalojo (sin perjuicio de las acciones posesorias o petitorias) si el accionado comprueba prima facie la efectividad de la posesión que invoca, justificando así la seriedad de su pretensión. Y ello es así, aunque la posesión invocada no reúna las notas eficientes para repeler una pretensión reivindicatoria o justificar una usucapión porque de lo contrario se estaría desnaturalizando la índole del proceso de desalojo, convirtiéndolo en un juicio petitorio o posesorio” (SCBA, Ac 56924, sent. del 30-8-1996, voto de la mayoría).</w:t>
      </w:r>
    </w:p>
    <w:p>
      <w:pPr>
        <w:pStyle w:val="[Normal]"/>
        <w:spacing w:line="360" w:lineRule="auto"/>
        <w:ind w:firstLine="1134"/>
        <w:jc w:val="both"/>
        <w:rPr>
          <w:lang w:val="es-AR" w:eastAsia="es-AR" w:bidi="es-AR"/>
        </w:rPr>
      </w:pPr>
      <w:r>
        <w:rPr>
          <w:lang w:val="es-AR" w:eastAsia="es-AR" w:bidi="es-AR"/>
        </w:rPr>
        <w:t xml:space="preserve"> Nuestra Suprema Corte Provincial, además " ... ha considerado que procede el desalojo solamente cuando el demandado está obligado a restituir el inmueble en virtud de una obligación nacida en un contrato, como la locación de cosa, del comodato, del otorgamiento de la tenencia precaria o cuando quien lo detenta resulta un intruso (conf. Ac. 50.546, sent. del 22-II-1994; Ac. 75.700, sent. del 30-IV-2003), pero que corresponde desestimar la acción por desalojo intentada si los demandados han acreditado prima facie el carácter de poseedores que invocaron, lo que impide que pueda considerárselos como deudores de una obligación exigible de restituir, como lo exige el art. 676 del Código Procesal Civil y Comercial (conf. doct. C. 97.416, sent. del 13-II-2008; C. 107.959, sent. del 5-X-2011)..." ( SCBA. Ac. 119770 ).</w:t>
      </w:r>
    </w:p>
    <w:p>
      <w:pPr>
        <w:pStyle w:val="[Normal]"/>
        <w:spacing w:line="360" w:lineRule="auto"/>
        <w:ind w:firstLine="1134"/>
        <w:jc w:val="both"/>
        <w:rPr>
          <w:lang w:val="es-AR" w:eastAsia="es-AR" w:bidi="es-AR"/>
        </w:rPr>
      </w:pPr>
      <w:r>
        <w:rPr>
          <w:lang w:val="es-AR" w:eastAsia="es-AR" w:bidi="es-AR"/>
        </w:rPr>
        <w:t xml:space="preserve">Como quedó expuesto, el actor no logró acreditar la interversión del titulo que le permitiera transformar la tenencia originaria en una posesión ejercida a nombre propio. Tal conclusión, 	que conducen al rechazo de la usucapión pretendida, resultan igualmente decisivos para resolver los agravios aquí examinados.-</w:t>
      </w:r>
    </w:p>
    <w:p>
      <w:pPr>
        <w:pStyle w:val="[Normal]"/>
        <w:spacing w:line="360" w:lineRule="auto"/>
        <w:ind w:firstLine="1134"/>
        <w:jc w:val="both"/>
        <w:rPr>
          <w:lang w:val="es-AR" w:eastAsia="es-AR" w:bidi="es-AR"/>
        </w:rPr>
      </w:pPr>
      <w:r>
        <w:rPr>
          <w:lang w:val="es-AR" w:eastAsia="es-AR" w:bidi="es-AR"/>
        </w:rPr>
        <w:t xml:space="preserve">Es que la necesidad de acudir a la acción reivindicatoria presupone la existencia de una verdadera controversia posesoria o la acreditación de una posesión autónoma susceptible de ser opuesta al titular del derecho. Precisamente por ello la doctrina y jurisprudencia invocadas por el apelante han sostenido reiteradamente que la acción de desalojo no constituye una vía apta para debatir cuestiones petitorias o posesorias cuando el demandado demuestra, siquiera prima facie, la efectividad de la posesión que invoca, sin embargo como he venido sosteniendo a lo largo del presente pronunciamiento, ese no es el supuesto que se presenta en autos.</w:t>
      </w:r>
    </w:p>
    <w:p>
      <w:pPr>
        <w:pStyle w:val="[Normal]"/>
        <w:spacing w:line="360" w:lineRule="auto"/>
        <w:ind w:firstLine="1134"/>
        <w:jc w:val="both"/>
        <w:rPr>
          <w:lang w:val="es-AR" w:eastAsia="es-AR" w:bidi="es-AR"/>
        </w:rPr>
      </w:pPr>
      <w:r>
        <w:rPr>
          <w:lang w:val="es-AR" w:eastAsia="es-AR" w:bidi="es-AR"/>
        </w:rPr>
        <w:t xml:space="preserve">Por el contrario, una vez establecido que la ocupación del inmueble tuvo origen en una relación de tenencia y que no se verificó una ulterior mutación de dicha situación jurídica mediante actos inequívocos de contradicción al derecho de quien aparecía como titular, desaparece el presupuesto fáctico sobre el cual el recurrente pretende fundar la improcedencia del desalojo.</w:t>
      </w:r>
    </w:p>
    <w:p>
      <w:pPr>
        <w:pStyle w:val="[Normal]"/>
        <w:spacing w:line="360" w:lineRule="auto"/>
        <w:ind w:firstLine="1134"/>
        <w:jc w:val="both"/>
        <w:rPr>
          <w:lang w:val="es-AR" w:eastAsia="es-AR" w:bidi="es-AR"/>
        </w:rPr>
      </w:pPr>
      <w:r>
        <w:rPr>
          <w:lang w:val="es-AR" w:eastAsia="es-AR" w:bidi="es-AR"/>
        </w:rPr>
        <w:t xml:space="preserve">Desde esa perspectiva, la acción intentada por Servicios Portuarios S.A. aparece como la vía idónea para obtener la restitución del inmueble frente a quien no acreditó un derecho que legitime su permanencia en él.</w:t>
      </w:r>
    </w:p>
    <w:p>
      <w:pPr>
        <w:pStyle w:val="[Normal]"/>
        <w:spacing w:line="360" w:lineRule="auto"/>
        <w:ind w:firstLine="1134"/>
        <w:jc w:val="both"/>
        <w:rPr>
          <w:lang w:val="es-AR" w:eastAsia="es-AR" w:bidi="es-AR"/>
        </w:rPr>
      </w:pPr>
      <w:r>
        <w:rPr>
          <w:lang w:val="es-AR" w:eastAsia="es-AR" w:bidi="es-AR"/>
        </w:rPr>
        <w:t xml:space="preserve">Tampoco resulta atendible la defensa de falta de legitimación activa articulada. En efecto, la sociedad accionante ha acreditado en autos el título jurídico que invoca respecto del inmueble objeto de la litis, mediante la correspondiente adjudicación y el mandamiento de posesión oportunamente librado, así como el pago del precio de adquisición. En tales condiciones, Servicios Portuarios ostenta legitimación activa suficiente, derivada de la adjudicación y tradición judicial del bien.</w:t>
      </w:r>
    </w:p>
    <w:p>
      <w:pPr>
        <w:pStyle w:val="[Normal]"/>
        <w:spacing w:line="360" w:lineRule="auto"/>
        <w:ind w:firstLine="1134"/>
        <w:jc w:val="both"/>
        <w:rPr>
          <w:lang w:val="es-AR" w:eastAsia="es-AR" w:bidi="es-AR"/>
        </w:rPr>
      </w:pPr>
      <w:r>
        <w:rPr>
          <w:lang w:val="es-AR" w:eastAsia="es-AR" w:bidi="es-AR"/>
        </w:rPr>
        <w:t xml:space="preserve">Sobre el particular, se ha sostenido que: </w:t>
      </w:r>
      <w:r>
        <w:rPr>
          <w:i/>
          <w:lang w:val="es-AR" w:eastAsia="es-AR" w:bidi="es-AR"/>
        </w:rPr>
        <w:t xml:space="preserve">"Habiéndose presentado la actora como adquirente en subasta judicial aprobada por el órgano jurisdiccional donde, una vez verificados los requisitos formales de validez de la misma y el pago del precio, se libró mandamiento de toma de posesión, todo ello por virtud de las actuaciones cumplidas en los autos referidos, no necesita escritura alguna (art. 1184, primera parte, del Código Civil)"</w:t>
      </w:r>
      <w:r>
        <w:rPr>
          <w:lang w:val="es-AR" w:eastAsia="es-AR" w:bidi="es-AR"/>
        </w:rPr>
        <w:t xml:space="preserve"> (CC0103 LP 249983 RSD-14-8 S 21/02/2008, JUBA B202744).</w:t>
      </w:r>
    </w:p>
    <w:p>
      <w:pPr>
        <w:pStyle w:val="[Normal]"/>
        <w:spacing w:line="360" w:lineRule="auto"/>
        <w:ind w:firstLine="1134"/>
        <w:jc w:val="both"/>
        <w:rPr>
          <w:lang w:val="es-AR" w:eastAsia="es-AR" w:bidi="es-AR"/>
        </w:rPr>
      </w:pPr>
      <w:r>
        <w:rPr>
          <w:lang w:val="es-AR" w:eastAsia="es-AR" w:bidi="es-AR"/>
        </w:rPr>
        <w:t xml:space="preserve">De este modo, la legitimación de la actora para requerir la restitución del inmueble surge de manera directa de la adjudicación y tradición judicial del bien, sin que resulte exigible otro instrumento traslativo de dominio. Consecuentemente, y ante la ausencia de una posesión autónoma o de un derecho oponible en cabeza del ocupante, se encuentra plenamente habilitada para promover la presente acción y perseguir la restitución del inmueble.</w:t>
      </w:r>
    </w:p>
    <w:p>
      <w:pPr>
        <w:pStyle w:val="[Normal]"/>
        <w:spacing w:line="360" w:lineRule="auto"/>
        <w:ind w:firstLine="1134"/>
        <w:jc w:val="both"/>
        <w:rPr>
          <w:lang w:val="es-AR" w:eastAsia="es-AR" w:bidi="es-AR"/>
        </w:rPr>
      </w:pPr>
      <w:r>
        <w:rPr>
          <w:lang w:val="es-AR" w:eastAsia="es-AR" w:bidi="es-AR"/>
        </w:rPr>
        <w:t xml:space="preserve">En definitiva, descartada la existencia de una posesión hábil que permita sustentar la prescripción adquisitiva invocada por la demandada, carece de sustento la tesis según la cual la controversia debía encauzarse mediante una acción reivindicatoria y por las mismas razones, corresponde también rechazar la defensa de falta de legitimación activa opuesta por el recurrente.-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en un todo el fallo apelado.-</w:t>
      </w:r>
    </w:p>
    <w:p>
      <w:pPr>
        <w:pStyle w:val="[Normal]"/>
        <w:spacing w:line="360" w:lineRule="auto"/>
        <w:ind w:firstLine="1134"/>
        <w:jc w:val="both"/>
        <w:rPr>
          <w:lang w:val="es-AR" w:eastAsia="es-AR" w:bidi="es-AR"/>
        </w:rPr>
      </w:pPr>
      <w:r>
        <w:rPr>
          <w:lang w:val="es-AR" w:eastAsia="es-AR" w:bidi="es-AR"/>
        </w:rPr>
        <w:t xml:space="preserve">Imponer las costas de Alzada al apelante vencido (Arts.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en un todo el fallo apelado.-</w:t>
      </w:r>
    </w:p>
    <w:p>
      <w:pPr>
        <w:pStyle w:val="[Normal]"/>
        <w:spacing w:line="360" w:lineRule="auto"/>
        <w:ind w:firstLine="1134"/>
        <w:jc w:val="both"/>
        <w:rPr>
          <w:lang w:val="es-AR" w:eastAsia="es-AR" w:bidi="es-AR"/>
        </w:rPr>
      </w:pPr>
      <w:r>
        <w:rPr>
          <w:lang w:val="es-AR" w:eastAsia="es-AR" w:bidi="es-AR"/>
        </w:rPr>
        <w:t xml:space="preserve">Imponer las costas de Alzada al apelante vencido (Arts.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w:t>
      </w:r>
      <w:r>
        <w:rPr>
          <w:color w:val="000000"/>
          <w:lang w:val="es-AR" w:eastAsia="es-AR" w:bidi="es-AR"/>
        </w:rPr>
        <w:t xml:space="preserve">Glósese copia de la presente a su acumulada N° </w:t>
      </w:r>
      <w:r>
        <w:rPr>
          <w:b/>
          <w:color w:val="000000"/>
          <w:lang w:val="es-AR" w:eastAsia="es-AR" w:bidi="es-AR"/>
        </w:rPr>
        <w:t xml:space="preserve">3462-18</w:t>
      </w:r>
      <w:r>
        <w:rPr>
          <w:color w:val="000000"/>
          <w:lang w:val="es-AR" w:eastAsia="es-AR" w:bidi="es-AR"/>
        </w:rPr>
        <w:t xml:space="preserve"> caratulada </w:t>
      </w:r>
      <w:r>
        <w:rPr>
          <w:b/>
          <w:lang w:val="es-AR" w:eastAsia="es-AR" w:bidi="es-AR"/>
        </w:rPr>
        <w:t xml:space="preserve">"</w:t>
      </w:r>
      <w:r>
        <w:rPr>
          <w:b/>
          <w:color w:val="000000"/>
          <w:lang w:val="es-AR" w:eastAsia="es-AR" w:bidi="es-AR"/>
        </w:rPr>
        <w:t xml:space="preserve">SERVICIOS PORTUARIOS S.A. C/ GLASINOVICH DANIEL Y OTRO/A S/ DESALOJO (EXCEPTO POR FALTA DE PAGO)"</w:t>
      </w:r>
      <w:r>
        <w:rPr>
          <w:color w:val="000000"/>
          <w:lang w:val="es-AR" w:eastAsia="es-AR" w:bidi="es-AR"/>
        </w:rPr>
        <w:t xml:space="preserve"> </w:t>
      </w:r>
      <w:r>
        <w:rPr>
          <w:lang w:val="es-AR" w:eastAsia="es-AR" w:bidi="es-AR"/>
        </w:rPr>
        <w:t xml:space="preserve">Expte. N°61.244 del Juzgado en lo Civil y Comercial N° 3 departamental.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10:00:25 -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10:13:39 -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10:13:55 -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‰8i")è&amp;|;Q&amp;Š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247302090006922749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30/06/2026 10:14:07 hs. bajo el número RS-109-2026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