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jc w:val="both"/>
        <w:rPr>
          <w:lang w:val="es-AR" w:eastAsia="es-AR" w:bidi="es-AR"/>
        </w:rPr>
      </w:pPr>
      <w:r>
        <w:rPr>
          <w:lang w:val="es-AR" w:eastAsia="es-AR" w:bidi="es-AR"/>
        </w:rPr>
        <w:t xml:space="preserve">  </w:t>
      </w:r>
    </w:p>
    <w:p>
      <w:pPr>
        <w:pStyle w:val="[Normal]"/>
        <w:spacing w:line="360" w:lineRule="auto"/>
        <w:ind w:firstLine="1134"/>
        <w:jc w:val="both"/>
        <w:rPr>
          <w:lang w:val="es-AR" w:eastAsia="es-AR" w:bidi="es-AR"/>
        </w:rPr>
      </w:pPr>
      <w:r>
        <w:rPr>
          <w:lang w:val="es-AR" w:eastAsia="es-AR" w:bidi="es-AR"/>
        </w:rPr>
        <w:t xml:space="preserve">En la ciudad de Pergamino, reunidos en Acuerdo Ordinario los Sres. Jueces de la Excma. Cámara de Apelación en lo Civil y Comercial del Departamento Judicial Pergamino, para dictar sentencia en la causa N° </w:t>
      </w:r>
      <w:r>
        <w:rPr>
          <w:color w:val="000000"/>
          <w:lang w:val="es-AR" w:eastAsia="es-AR" w:bidi="es-AR"/>
        </w:rPr>
        <w:t xml:space="preserve">6053-26</w:t>
      </w:r>
      <w:r>
        <w:rPr>
          <w:lang w:val="es-AR" w:eastAsia="es-AR" w:bidi="es-AR"/>
        </w:rPr>
        <w:t xml:space="preserve"> caratulada </w:t>
      </w:r>
      <w:r>
        <w:rPr>
          <w:b/>
          <w:lang w:val="es-AR" w:eastAsia="es-AR" w:bidi="es-AR"/>
        </w:rPr>
        <w:t xml:space="preserve">"</w:t>
      </w:r>
      <w:r>
        <w:rPr>
          <w:b/>
          <w:color w:val="000000"/>
          <w:lang w:val="es-AR" w:eastAsia="es-AR" w:bidi="es-AR"/>
        </w:rPr>
        <w:t xml:space="preserve">BERMEJO RESTELLI MACARENA C/ SEGUROMETAL COOPERATIVA DE SEGUROS LTDA  Y OTRO/A S/ DAÑOS Y PERJ. AUTOM. S/LESIONES (EXC. ESTADO)</w:t>
      </w:r>
      <w:r>
        <w:rPr>
          <w:b/>
          <w:lang w:val="es-AR" w:eastAsia="es-AR" w:bidi="es-AR"/>
        </w:rPr>
        <w:t xml:space="preserve">"</w:t>
      </w:r>
      <w:r>
        <w:rPr>
          <w:lang w:val="es-AR" w:eastAsia="es-AR" w:bidi="es-AR"/>
        </w:rPr>
        <w:t xml:space="preserve">, Expte. </w:t>
      </w:r>
      <w:r>
        <w:rPr>
          <w:color w:val="000000"/>
          <w:lang w:val="es-AR" w:eastAsia="es-AR" w:bidi="es-AR"/>
        </w:rPr>
        <w:t xml:space="preserve">68.382</w:t>
      </w:r>
      <w:r>
        <w:rPr>
          <w:color w:val="000000"/>
          <w:lang w:val="es-AR" w:eastAsia="es-AR" w:bidi="es-AR"/>
        </w:rPr>
        <w:t xml:space="preserve"> </w:t>
      </w:r>
      <w:r>
        <w:rPr>
          <w:lang w:val="es-AR" w:eastAsia="es-AR" w:bidi="es-AR"/>
        </w:rPr>
        <w:t xml:space="preserve">del Juzgado en lo Civil y Comercial N° 3, se practicó el sorteo de ley que determinó que la votación debía efectuarse en el siguiente orden: Graciela Scaraffia y Roberto Degleue,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apelada?</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la señora Jueza Graciela Scaraffia dijo:</w:t>
      </w:r>
    </w:p>
    <w:p>
      <w:pPr>
        <w:pStyle w:val="[Normal]"/>
        <w:spacing w:line="360" w:lineRule="auto"/>
        <w:ind w:firstLine="1134"/>
        <w:jc w:val="both"/>
        <w:rPr>
          <w:lang w:val="es-AR" w:eastAsia="es-AR" w:bidi="es-AR"/>
        </w:rPr>
      </w:pPr>
      <w:r>
        <w:rPr>
          <w:lang w:val="es-AR" w:eastAsia="es-AR" w:bidi="es-AR"/>
        </w:rPr>
        <w:t xml:space="preserve">El Sr. Juez de la anterior instancia rechazó la demanda que instaurara Macarena Bermejo Restelli, por vía de juicio sumario, contra Oscar Francisco Gonzalez y Segurometal Cooperativa de Seguros Ltda.. Aplicó las costas a la parte actora, que resulta vencida (Art. 68 C.P.C.). Difirió la regulación de honorarios de los letrados intervinientes y de los peritos, hasta que medie firme la respectiva liquidación de intereses y gastos (Arts. 23, 51 y ccdts. ley 14.967).</w:t>
      </w:r>
    </w:p>
    <w:p>
      <w:pPr>
        <w:pStyle w:val="[Normal]"/>
        <w:spacing w:line="360" w:lineRule="auto"/>
        <w:ind w:firstLine="1134"/>
        <w:jc w:val="both"/>
        <w:rPr>
          <w:lang w:val="es-AR" w:eastAsia="es-AR" w:bidi="es-AR"/>
        </w:rPr>
      </w:pPr>
      <w:r>
        <w:rPr>
          <w:lang w:val="es-AR" w:eastAsia="es-AR" w:bidi="es-AR"/>
        </w:rPr>
        <w:t xml:space="preserve">Tal decisorio fue objeto del recurso de apelación interpuesto el día 13-4-2026 por la parte actora, concedido el 15-4-2026 libremente y en ambos efectos.</w:t>
      </w:r>
    </w:p>
    <w:p>
      <w:pPr>
        <w:pStyle w:val="[Normal]"/>
        <w:spacing w:line="360" w:lineRule="auto"/>
        <w:ind w:firstLine="1134"/>
        <w:jc w:val="both"/>
        <w:rPr>
          <w:lang w:val="es-AR" w:eastAsia="es-AR" w:bidi="es-AR"/>
        </w:rPr>
      </w:pPr>
      <w:r>
        <w:rPr>
          <w:lang w:val="es-AR" w:eastAsia="es-AR" w:bidi="es-AR"/>
        </w:rPr>
        <w:t xml:space="preserve">Elevados los autos a esta Alzada con fecha 21-4-2026 se ordenó expresar agravios a la parte actora, quien el 4-5-2026 los fundó y del mismo el 7-5-2026 traslado a la parte demandada, quien lo evacuó en la misma fecha. El día 12-5-2026 llamamiento de autos, providencia, que firme a la fecha deja la causa en condiciones de ser fallada.</w:t>
      </w:r>
    </w:p>
    <w:p>
      <w:pPr>
        <w:pStyle w:val="[Normal]"/>
        <w:spacing w:line="360" w:lineRule="auto"/>
        <w:ind w:firstLine="1134"/>
        <w:jc w:val="both"/>
        <w:rPr>
          <w:lang w:val="es-AR" w:eastAsia="es-AR" w:bidi="es-AR"/>
        </w:rPr>
      </w:pPr>
      <w:r>
        <w:rPr>
          <w:lang w:val="es-AR" w:eastAsia="es-AR" w:bidi="es-AR"/>
        </w:rPr>
        <w:t xml:space="preserve">1) Llegan estas actuaciones a conocimiento del Tribunal con motivo del recurso de apelación interpuesto por la parte actora, Macarena Bermejo Restelli, contra la sentencia definitiva dictada en fecha 6 de abril de 2026, mediante la cual se rechazó la demanda de daños y perjuicios promovida contra Oscar Francisco González y Segurometal Cooperativa de Seguros Ltda., con costas a la actora vencida.</w:t>
      </w:r>
    </w:p>
    <w:p>
      <w:pPr>
        <w:pStyle w:val="[Normal]"/>
        <w:spacing w:line="360" w:lineRule="auto"/>
        <w:ind w:firstLine="1134"/>
        <w:jc w:val="both"/>
        <w:rPr>
          <w:lang w:val="es-AR" w:eastAsia="es-AR" w:bidi="es-AR"/>
        </w:rPr>
      </w:pPr>
      <w:r>
        <w:rPr>
          <w:lang w:val="es-AR" w:eastAsia="es-AR" w:bidi="es-AR"/>
        </w:rPr>
        <w:t xml:space="preserve">2) La actora fundó su recurso mediante la expresión de agravios obrante en autos, que fue contestada por la parte demandada y la citada en garantía dentro del plazo legal, quedando la causa en estado de ser resuelta.</w:t>
      </w:r>
    </w:p>
    <w:p>
      <w:pPr>
        <w:pStyle w:val="[Normal]"/>
        <w:spacing w:line="360" w:lineRule="auto"/>
        <w:ind w:firstLine="1134"/>
        <w:jc w:val="both"/>
        <w:rPr>
          <w:lang w:val="es-AR" w:eastAsia="es-AR" w:bidi="es-AR"/>
        </w:rPr>
      </w:pPr>
      <w:r>
        <w:rPr>
          <w:lang w:val="es-AR" w:eastAsia="es-AR" w:bidi="es-AR"/>
        </w:rPr>
        <w:t xml:space="preserve">3) Plataforma fáctica y objeto del recurso. La actora promovió demanda de daños y perjuicios reclamando la reparación de los menoscabos sufridos por su automóvil Peugeot 207, dominio ILN-720, con motivo de un siniestro  que dice ocurrido el 27 de septiembre de 2024 en Av. Ernesto Illia 2255 de la ciudad de Pergamino, donde su vehículo se encontraba estacionado. En esas circunstancias alrededor de las 12.40 hs relata que escuchó un estruendo y vio por la ventana del comercio que habia sucedido un siniestro.  Que al salir del comercio vio que el rodado Peugeot Partner, dominio DEN-445, de propiedad del demandado González -asegurado en Segurometal Cooperativa de Seguros Ltda. colisionó contra la parte delantera izquierda de su automóvil, provocándole roturas en su automóvil, en el paragolpes delantero izquierdo y "ralladuras y abolladura" sobre la chapa. Reclamó indemnización por gastos de reparación, desvalorización venal, privación de uso y daño moral, por la suma de $ 6.826.048,00.-, o lo que en más o en menos surja de la prueba.</w:t>
      </w:r>
    </w:p>
    <w:p>
      <w:pPr>
        <w:pStyle w:val="[Normal]"/>
        <w:spacing w:line="360" w:lineRule="auto"/>
        <w:ind w:firstLine="1134"/>
        <w:jc w:val="both"/>
        <w:rPr>
          <w:lang w:val="es-AR" w:eastAsia="es-AR" w:bidi="es-AR"/>
        </w:rPr>
      </w:pPr>
      <w:r>
        <w:rPr>
          <w:lang w:val="es-AR" w:eastAsia="es-AR" w:bidi="es-AR"/>
        </w:rPr>
        <w:t xml:space="preserve">4) El a quo rechazó la demanda por considerar que la actora no logró acreditar la efectiva ocurrencia del hecho dañoso, valorando que los testigos eran de oídas -y por ende de escasa fuerza convictiva-; que las fotografías acompañadas no evidenciaban daños ni contacto entre los vehículos, y que la pericia mecánica careció de elementos técnicos suficientes para establecer la concatenación de daños al haberse presentado únicamente el rodado de la actora al examen pericial.</w:t>
      </w:r>
    </w:p>
    <w:p>
      <w:pPr>
        <w:pStyle w:val="[Normal]"/>
        <w:spacing w:line="360" w:lineRule="auto"/>
        <w:ind w:firstLine="1134"/>
        <w:jc w:val="both"/>
        <w:rPr>
          <w:lang w:val="es-AR" w:eastAsia="es-AR" w:bidi="es-AR"/>
        </w:rPr>
      </w:pPr>
      <w:r>
        <w:rPr>
          <w:lang w:val="es-AR" w:eastAsia="es-AR" w:bidi="es-AR"/>
        </w:rPr>
        <w:t xml:space="preserve">5) Frente a tal decisorio, la actora desliza dos agravios: (1) errónea valoración de la prueba producida -testimonial, pericial y documental- con apartamiento de las reglas de la sana crítica; y (2) omisión de aplicar la presunción del art. 386 del CPCC ante el incumplimiento de la citada en garantía de exhibir la documentación requerida, y falta de ponderación de las cargas probatorias dinámicas (art. 1735 CCyC).</w:t>
      </w:r>
    </w:p>
    <w:p>
      <w:pPr>
        <w:pStyle w:val="[Normal]"/>
        <w:spacing w:line="360" w:lineRule="auto"/>
        <w:ind w:firstLine="1134"/>
        <w:jc w:val="both"/>
        <w:rPr>
          <w:lang w:val="es-AR" w:eastAsia="es-AR" w:bidi="es-AR"/>
        </w:rPr>
      </w:pPr>
      <w:r>
        <w:rPr>
          <w:lang w:val="es-AR" w:eastAsia="es-AR" w:bidi="es-AR"/>
        </w:rPr>
        <w:t xml:space="preserve">Entrando a resolver los puntos de crisis traídos , respecto de la valoración probatoria puntualmente sobre la testimonial el Juez de grado  descartó los testimonios de Maira Vanesa Olari y Mariela Romina Maldonado por tratarse de testigos de oídas, citando jurisprudencia en cuanto a que dichos declarantes carecen de poder de convicción.</w:t>
      </w:r>
    </w:p>
    <w:p>
      <w:pPr>
        <w:pStyle w:val="[Normal]"/>
        <w:spacing w:line="360" w:lineRule="auto"/>
        <w:ind w:firstLine="1134"/>
        <w:jc w:val="both"/>
        <w:rPr>
          <w:lang w:val="es-AR" w:eastAsia="es-AR" w:bidi="es-AR"/>
        </w:rPr>
      </w:pPr>
      <w:r>
        <w:rPr>
          <w:lang w:val="es-AR" w:eastAsia="es-AR" w:bidi="es-AR"/>
        </w:rPr>
        <w:t xml:space="preserve">Esta Tribunal comparte el criterio según el cual el testimonio de oídas -aquel proveniente de quien no ha presenciado el hecho sino que lo conoce por referencia de la parte interesada- tiene un valor probatorio limitado y no puede ser fuente única de acreditación de los hechos controvertidos. Ello así, en tanto el testigo de referencia no ha tenido contacto sensorial directo con los hechos narrados (cfr. arts. 384 y 456, CPCC; CC0100 SN 13029 S 21/09/2017, Juba B861515; CC0202 LP 128982 RSD 93/21 S 27/04/2021, Juba B5077471).</w:t>
      </w:r>
    </w:p>
    <w:p>
      <w:pPr>
        <w:pStyle w:val="[Normal]"/>
        <w:spacing w:line="360" w:lineRule="auto"/>
        <w:ind w:firstLine="1134"/>
        <w:jc w:val="both"/>
        <w:rPr>
          <w:lang w:val="es-AR" w:eastAsia="es-AR" w:bidi="es-AR"/>
        </w:rPr>
      </w:pPr>
      <w:r>
        <w:rPr>
          <w:lang w:val="es-AR" w:eastAsia="es-AR" w:bidi="es-AR"/>
        </w:rPr>
        <w:t xml:space="preserve">Sin embargo, el cuestionamiento de la apelante no radica en que dichos testimonios sean los únicos elementos de prueba, sino en que el sentenciante los habría descartado en forma absoluta y sin integrarlos con el resto del plexo probatorio.  En tal sentido, tiene razón la recurrente en cuanto a que la doctrina reconoce que la eficacia convictiva del testigo referencial debe apreciarse en conjunto con los demás medios de prueba, pudiendo adquirir valor indiciario o corroborante cuando se integra armónicamente con otros elementos del expediente. Tal es la regla de valoración probatoria que emana del art. 386 del CPCC (sana crítica racional).</w:t>
      </w:r>
    </w:p>
    <w:p>
      <w:pPr>
        <w:pStyle w:val="[Normal]"/>
        <w:spacing w:line="360" w:lineRule="auto"/>
        <w:ind w:firstLine="1134"/>
        <w:jc w:val="both"/>
        <w:rPr>
          <w:lang w:val="es-AR" w:eastAsia="es-AR" w:bidi="es-AR"/>
        </w:rPr>
      </w:pPr>
      <w:r>
        <w:rPr>
          <w:lang w:val="es-AR" w:eastAsia="es-AR" w:bidi="es-AR"/>
        </w:rPr>
        <w:t xml:space="preserve">No obstante, el análisis debe continuar para determinar si, en el caso, tal integración modifica la conclusión del a quo.</w:t>
      </w:r>
    </w:p>
    <w:p>
      <w:pPr>
        <w:pStyle w:val="[Normal]"/>
        <w:spacing w:line="360" w:lineRule="auto"/>
        <w:ind w:firstLine="1134"/>
        <w:jc w:val="both"/>
        <w:rPr>
          <w:lang w:val="es-AR" w:eastAsia="es-AR" w:bidi="es-AR"/>
        </w:rPr>
      </w:pPr>
      <w:r>
        <w:rPr>
          <w:lang w:val="es-AR" w:eastAsia="es-AR" w:bidi="es-AR"/>
        </w:rPr>
        <w:t xml:space="preserve">Conjugando con la prueba pericial el operador judicial señaló que el perito ingeniero mecánico, Javier Telmo Ferretti, informó que "carece de elementos técnicos objetivos que permitan establecer una concatenación de daños ya que se presentó al examen de visus solo el automóvil Peugeot 207, y en las fotografías no se aprecian con claridad los daños de los móviles".</w:t>
      </w:r>
    </w:p>
    <w:p>
      <w:pPr>
        <w:pStyle w:val="[Normal]"/>
        <w:spacing w:line="360" w:lineRule="auto"/>
        <w:ind w:firstLine="1134"/>
        <w:jc w:val="both"/>
        <w:rPr>
          <w:lang w:val="es-AR" w:eastAsia="es-AR" w:bidi="es-AR"/>
        </w:rPr>
      </w:pPr>
      <w:r>
        <w:rPr>
          <w:lang w:val="es-AR" w:eastAsia="es-AR" w:bidi="es-AR"/>
        </w:rPr>
        <w:t xml:space="preserve">La actora sostiene que el sentenciante tergiversó el alcance de la pericia, al afirmar que "en las fotografías no se aprecian los daños", cuando el experto dijo que "no se aprecian con claridad". Esta distinción es relevante: el perito no negó la existencia de daños, sino que señaló una limitación en su apreciación visual. En efecto, del propio informe pericial surge que el experto constató en el examen directo del vehículo (visus) la existencia de un "abollón en el sector delantero del guardabarros delantero izquierdo" y un "desprendimiento parcial de paragolpes delantero sector izquierdo", adjuntando material fotográfico.  Asimismo, el perito ubicó ambos vehículos en Av. Illia 2255 a partir de las fotografías, describiendo que el Peugeot 207 se encontraba en posición de estacionamiento y el Peugeot Partner con cierta angularidad suroeste, en posición compatible con una maniobra de ingreso al sector de estacionamiento.</w:t>
      </w:r>
    </w:p>
    <w:p>
      <w:pPr>
        <w:pStyle w:val="[Normal]"/>
        <w:spacing w:line="360" w:lineRule="auto"/>
        <w:ind w:firstLine="1134"/>
        <w:jc w:val="both"/>
        <w:rPr>
          <w:lang w:val="es-AR" w:eastAsia="es-AR" w:bidi="es-AR"/>
        </w:rPr>
      </w:pPr>
      <w:r>
        <w:rPr>
          <w:lang w:val="es-AR" w:eastAsia="es-AR" w:bidi="es-AR"/>
        </w:rPr>
        <w:t xml:space="preserve">Tales conclusiones periciales no son menores: acreditan la existencia de daños en el sector izquierdo delantero del rodado de la actora, compatibles con la dinámica descripta en la demanda, y ubican a ambos vehículos en el lugar del hecho.</w:t>
      </w:r>
    </w:p>
    <w:p>
      <w:pPr>
        <w:pStyle w:val="[Normal]"/>
        <w:spacing w:line="360" w:lineRule="auto"/>
        <w:ind w:firstLine="1134"/>
        <w:jc w:val="both"/>
        <w:rPr>
          <w:lang w:val="es-AR" w:eastAsia="es-AR" w:bidi="es-AR"/>
        </w:rPr>
      </w:pPr>
      <w:r>
        <w:rPr>
          <w:lang w:val="es-AR" w:eastAsia="es-AR" w:bidi="es-AR"/>
        </w:rPr>
        <w:t xml:space="preserve">La imposibilidad de establecer la concatenación completa de daños entre ambos rodados no es imputable a la actora, sino -como señala el perito- a que únicamente se presentó al examen el vehículo de la parte actora, mientras que el rodado del demandado no fue puesto a disposición del experto, pese a encontrarse debidamente notificado. Esta omisión no puede perjudicar a quien ofreció la prueba y compareció al acto pericial.</w:t>
      </w:r>
    </w:p>
    <w:p>
      <w:pPr>
        <w:pStyle w:val="[Normal]"/>
        <w:spacing w:line="360" w:lineRule="auto"/>
        <w:ind w:firstLine="1134"/>
        <w:jc w:val="both"/>
        <w:rPr>
          <w:lang w:val="es-AR" w:eastAsia="es-AR" w:bidi="es-AR"/>
        </w:rPr>
      </w:pPr>
      <w:r>
        <w:rPr>
          <w:lang w:val="es-AR" w:eastAsia="es-AR" w:bidi="es-AR"/>
        </w:rPr>
        <w:t xml:space="preserve">Sobre la prueba documental: La actora acompañó con la demanda la denuncia de siniestro efectuada ante su propia aseguradora (Cooperación Seguros), en la cual describió el hecho como: "el vehículo estaba estacionado y fue embestido en la parte delantera izquierda por el Peugeot Partner DEN-445 al intentar estacionar frente a su unidad".  Esta pieza documental -que la demandada no desconoció formalmente en la audiencia de simplificación de prueba- constituye una manifestación efectuada contemporáneamente al hecho, coherente con la versión sostenida en la demanda, y concordante con la prueba pericial. Sin embargo, el sentenciante no la ponderó.</w:t>
      </w:r>
    </w:p>
    <w:p>
      <w:pPr>
        <w:pStyle w:val="[Normal]"/>
        <w:spacing w:line="360" w:lineRule="auto"/>
        <w:ind w:firstLine="1134"/>
        <w:jc w:val="both"/>
        <w:rPr>
          <w:lang w:val="es-AR" w:eastAsia="es-AR" w:bidi="es-AR"/>
        </w:rPr>
      </w:pPr>
      <w:r>
        <w:rPr>
          <w:lang w:val="es-AR" w:eastAsia="es-AR" w:bidi="es-AR"/>
        </w:rPr>
        <w:t xml:space="preserve">Valoración conjunta: Frente al panorama que arrojan los distintos elementos probatorios producidos en autos -testimonios referenciales coincidentes en aspectos sustanciales, pericia mecánica que constata daños en el sector izquierdo delantero del rodado actor compatibles con la dinámica del hecho, ubicación de ambos vehículos en el lugar del siniestro, y denuncia contemporánea al hecho ante la propia aseguradora de la actora no impugnada por la contraria-, este Tribunal considera que el a quo incurrió en una valoración fragmentaria del material probatorio, contraria a las reglas de la sana crítica (art. 384, CPCC).  El análisis aislado de cada elemento, en lugar de su integración armónica, condujo a una conclusión que no resulta la derivación razonada y fundada de las constancias de la causa. propiciando entonces acoger este punto de agravio.-</w:t>
      </w:r>
    </w:p>
    <w:p>
      <w:pPr>
        <w:pStyle w:val="[Normal]"/>
        <w:spacing w:line="360" w:lineRule="auto"/>
        <w:ind w:firstLine="1134"/>
        <w:jc w:val="both"/>
        <w:rPr>
          <w:lang w:val="es-AR" w:eastAsia="es-AR" w:bidi="es-AR"/>
        </w:rPr>
      </w:pPr>
      <w:r>
        <w:rPr>
          <w:lang w:val="es-AR" w:eastAsia="es-AR" w:bidi="es-AR"/>
        </w:rPr>
        <w:t xml:space="preserve">Segundo agravio: presunción del art. 386 del CPCC y cargas probatorias dinámicas:</w:t>
      </w:r>
    </w:p>
    <w:p>
      <w:pPr>
        <w:pStyle w:val="[Normal]"/>
        <w:spacing w:line="360" w:lineRule="auto"/>
        <w:ind w:firstLine="1134"/>
        <w:jc w:val="both"/>
        <w:rPr>
          <w:lang w:val="es-AR" w:eastAsia="es-AR" w:bidi="es-AR"/>
        </w:rPr>
      </w:pPr>
      <w:r>
        <w:rPr>
          <w:lang w:val="es-AR" w:eastAsia="es-AR" w:bidi="es-AR"/>
        </w:rPr>
        <w:t xml:space="preserve">La actora ofreció como prueba la documentación en poder de Segurometal Cooperativa de Seguros Ltda., solicitando la intimación para acompañar: (a) la póliza del rodado DEN-445 vigente al momento del hecho; (b) copia de la denuncia de siniestro formulada por el demandado González; y (c) las fotografías recabadas con motivo de la denuncia. La intimación fue dispuesta el 5 de septiembre de 2025 y quedó notificada el 9 del mismo mes. No obstante, la citada en garantía incumplió dicha carga sin justificación alguna.</w:t>
      </w:r>
    </w:p>
    <w:p>
      <w:pPr>
        <w:pStyle w:val="[Normal]"/>
        <w:spacing w:line="360" w:lineRule="auto"/>
        <w:ind w:firstLine="1134"/>
        <w:jc w:val="both"/>
        <w:rPr>
          <w:lang w:val="es-AR" w:eastAsia="es-AR" w:bidi="es-AR"/>
        </w:rPr>
      </w:pPr>
      <w:r>
        <w:rPr>
          <w:lang w:val="es-AR" w:eastAsia="es-AR" w:bidi="es-AR"/>
        </w:rPr>
        <w:t xml:space="preserve">El art. 386 del CPCC establece que cuando la parte en cuyo poder se encuentra un documento omite exhibirlo sin causa justificada, el juez puede tener por cierta la exactitud de los datos que la parte contraria afirma que contiene dicho instrumento, siempre que existan otros elementos de juicio que lo tornen verosímil.  La norma consagra una presunción judicial de naturaleza relativa, que no opera en forma autónoma sino que requiere ser integrada con el conjunto probatorio. Así lo ha señalado la SCBA: "La presunción contenida en el art. 386 del CPCCBA en contra de la parte que es reticente en acompañar la documentación que le es requerida es relativa... es menester integrar tal indicio negativo con la totalidad de las pruebas de la causa" (SCBA, 14/11/07, 'Gerez, Julio Alberto y otra c. Barrios, Jacinto Antonio y otros s/Daños y perjuicios', causa n° 90573).</w:t>
      </w:r>
    </w:p>
    <w:p>
      <w:pPr>
        <w:pStyle w:val="[Normal]"/>
        <w:spacing w:line="360" w:lineRule="auto"/>
        <w:ind w:firstLine="1134"/>
        <w:jc w:val="both"/>
        <w:rPr>
          <w:lang w:val="es-AR" w:eastAsia="es-AR" w:bidi="es-AR"/>
        </w:rPr>
      </w:pPr>
      <w:r>
        <w:rPr>
          <w:lang w:val="es-AR" w:eastAsia="es-AR" w:bidi="es-AR"/>
        </w:rPr>
        <w:t xml:space="preserve">En el caso, la existencia y contenido de la documentación requerida -en particular, la denuncia de siniestro formulada por la actora ante su propia aseguradora describiendo el modo y lugar, Siniestro Nro 10105/99 resultan verosímiles a la luz de los restantes elementos probatorios.  La contraria no solo no acompañó tal documentación, sino que tampoco concurrió al acto pericial con el rodado DEN-445, lo que impidió al perito establecer la correspondencia técnica entre los daños de ambos vehículos.  Tal conducta procesal omisiva -reiterada y consistente a lo largo del proceso- no puede ser ignorada al momento de dictar sentencia.</w:t>
      </w:r>
    </w:p>
    <w:p>
      <w:pPr>
        <w:pStyle w:val="[Normal]"/>
        <w:spacing w:line="360" w:lineRule="auto"/>
        <w:ind w:firstLine="1134"/>
        <w:jc w:val="both"/>
        <w:rPr>
          <w:lang w:val="es-AR" w:eastAsia="es-AR" w:bidi="es-AR"/>
        </w:rPr>
      </w:pPr>
      <w:r>
        <w:rPr>
          <w:lang w:val="es-AR" w:eastAsia="es-AR" w:bidi="es-AR"/>
        </w:rPr>
        <w:t xml:space="preserve">En tal sentido, debe asimismo considerarse lo dispuesto por el art. 1735 del CCyC, que consagra las denominadas cargas probatorias dinámicas, facultando al juez a distribuir la carga de la prueba ponderando cuál de las partes se halla en mejores condiciones de probarla.  En el presente caso, la aseguradora citada en garantía era quien se encontraba en posición más favorable para acreditar -o refutar- la existencia del siniestro, al contar con la denuncia formulada por su propio asegurado, con los registros fotográficos recabados al momento de la denuncia y con la póliza vigente.  Su renuencia a colaborar con el proceso y a exhibir documentación que solo ella podía aportar debe pesar en su contra.</w:t>
      </w:r>
    </w:p>
    <w:p>
      <w:pPr>
        <w:pStyle w:val="[Normal]"/>
        <w:spacing w:line="360" w:lineRule="auto"/>
        <w:ind w:firstLine="1134"/>
        <w:jc w:val="both"/>
        <w:rPr>
          <w:lang w:val="es-AR" w:eastAsia="es-AR" w:bidi="es-AR"/>
        </w:rPr>
      </w:pPr>
      <w:r>
        <w:rPr>
          <w:lang w:val="es-AR" w:eastAsia="es-AR" w:bidi="es-AR"/>
        </w:rPr>
        <w:t xml:space="preserve">De la valoración conjunta y armónica de la totalidad del material probatorio -conforme las pautas señaladas en los considerandos precedentes-, esta Tribunal concluye que la ocurrencia del hecho dañoso se encuentra suficientemente acreditada en autos.  En efecto, la actora ha demostrado: (1) la existencia de daños en el sector delantero izquierdo de su vehículo, constatados pericialmente mediante examen directo; (2) la presencia de ambos rodados en el lugar y en posición compatible con la dinámica descripta en la demanda, conforme el análisis pericial de las fotografías; (3) una denuncia contemporánea al hecho ante su propia aseguradora, coherente con la versión sostenida en el escrito inaugural; y (4) declaraciones testimoniales que, aunque referenciales, son convergentes en cuanto a la existencia del siniestro y sus consecuencias.  A ello se suman la presunción del art. 386 del CPCC y la conducta procesal obstruccionista de la contraria, que refuerzan la verosimilitud de la versión actora.</w:t>
      </w:r>
    </w:p>
    <w:p>
      <w:pPr>
        <w:pStyle w:val="[Normal]"/>
        <w:spacing w:line="360" w:lineRule="auto"/>
        <w:ind w:firstLine="1134"/>
        <w:jc w:val="both"/>
        <w:rPr>
          <w:lang w:val="es-AR" w:eastAsia="es-AR" w:bidi="es-AR"/>
        </w:rPr>
      </w:pPr>
      <w:r>
        <w:rPr>
          <w:lang w:val="es-AR" w:eastAsia="es-AR" w:bidi="es-AR"/>
        </w:rPr>
        <w:t xml:space="preserve">Acreditado el hecho, el régimen de responsabilidad aplicable es el objetivo previsto por los arts. 1757 y 1769 del CCyC. Al damnificado le basta con probar el daño, la relación causal y la calidad de dueño o guardián de la cosa, sin que sea necesario demostrar la culpa del responsable (cfr. SCBA, Gutiérrez y otros c/ Suria s/Daños y perjuicios). El demandado GONZALEZ no ha acreditado ninguna eximente de responsabilidad -caso fortuito, culpa de la víctima o hecho de un tercero por quien no debe responder (art. 1722, CCyC)-, razón por la cual su responsabilidad debe ser declarada.</w:t>
      </w:r>
    </w:p>
    <w:p>
      <w:pPr>
        <w:pStyle w:val="[Normal]"/>
        <w:spacing w:line="360" w:lineRule="auto"/>
        <w:ind w:firstLine="1134"/>
        <w:jc w:val="both"/>
        <w:rPr>
          <w:lang w:val="es-AR" w:eastAsia="es-AR" w:bidi="es-AR"/>
        </w:rPr>
      </w:pPr>
      <w:r>
        <w:rPr>
          <w:lang w:val="es-AR" w:eastAsia="es-AR" w:bidi="es-AR"/>
        </w:rPr>
        <w:t xml:space="preserve">V.- Cuantificación de los daños:</w:t>
      </w:r>
    </w:p>
    <w:p>
      <w:pPr>
        <w:pStyle w:val="[Normal]"/>
        <w:spacing w:line="360" w:lineRule="auto"/>
        <w:ind w:firstLine="1134"/>
        <w:jc w:val="both"/>
        <w:rPr>
          <w:b/>
          <w:lang w:val="es-AR" w:eastAsia="es-AR" w:bidi="es-AR"/>
        </w:rPr>
      </w:pPr>
      <w:r>
        <w:rPr>
          <w:lang w:val="es-AR" w:eastAsia="es-AR" w:bidi="es-AR"/>
        </w:rPr>
        <w:t xml:space="preserve">Dilucidada así la cuestión relativa a la responsabilidad, corresponde me aboque al tratamiento de los rubros indemnizatorios reclamados dado que la jueza no los examinó por haber rechazado la acción.</w:t>
      </w:r>
    </w:p>
    <w:p>
      <w:pPr>
        <w:pStyle w:val="[Normal]"/>
        <w:spacing w:line="360" w:lineRule="auto"/>
        <w:ind w:firstLine="1134"/>
        <w:jc w:val="both"/>
        <w:rPr>
          <w:lang w:val="es-AR" w:eastAsia="es-AR" w:bidi="es-AR"/>
        </w:rPr>
      </w:pPr>
      <w:r>
        <w:rPr>
          <w:lang w:val="es-AR" w:eastAsia="es-AR" w:bidi="es-AR"/>
        </w:rPr>
        <w:t xml:space="preserve">a) La parte actora reclama el reintegro de los gastos de reparación del vehículo siniestrado, sustentando su pretensión en el presupuesto confeccionado por Santiago Hernández.</w:t>
      </w:r>
    </w:p>
    <w:p>
      <w:pPr>
        <w:pStyle w:val="[Normal]"/>
        <w:spacing w:line="360" w:lineRule="auto"/>
        <w:ind w:firstLine="1134"/>
        <w:jc w:val="both"/>
        <w:rPr>
          <w:lang w:val="es-AR" w:eastAsia="es-AR" w:bidi="es-AR"/>
        </w:rPr>
      </w:pPr>
      <w:r>
        <w:rPr>
          <w:lang w:val="es-AR" w:eastAsia="es-AR" w:bidi="es-AR"/>
        </w:rPr>
        <w:t xml:space="preserve">Del informe pericial mecánico surge acreditada la existencia de los daños invocados, toda vez que el experto, luego de examinar directamente el rodado, consignó: "</w:t>
      </w:r>
      <w:r>
        <w:rPr>
          <w:i/>
          <w:lang w:val="es-AR" w:eastAsia="es-AR" w:bidi="es-AR"/>
        </w:rPr>
        <w:t xml:space="preserve">Se observa abollón en guardabarros delantero izquierdo; desprendimiento parcial de paragolpes delantero, sector izquierdo</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Ahora bien, si bien el perito no efectuó una estimación del costo de reparación ni se expidió sobre la razonabilidad del presupuesto acompañado por la actora el 25-10-2025, lo cierto es que dicho instrumento no fue objeto de una impugnación concreta por la parte demandada, ni esta produjo prueba idónea destinada a desvirtuar su contenido o la entidad de los costos allí consignados.</w:t>
      </w:r>
    </w:p>
    <w:p>
      <w:pPr>
        <w:pStyle w:val="[Normal]"/>
        <w:spacing w:line="360" w:lineRule="auto"/>
        <w:ind w:firstLine="1134"/>
        <w:jc w:val="both"/>
        <w:rPr>
          <w:lang w:val="es-AR" w:eastAsia="es-AR" w:bidi="es-AR"/>
        </w:rPr>
      </w:pPr>
      <w:r>
        <w:rPr>
          <w:lang w:val="es-AR" w:eastAsia="es-AR" w:bidi="es-AR"/>
        </w:rPr>
        <w:t xml:space="preserve">Asimismo, confrontado el presupuesto con las fotografías del vehículo agregadas juntamente con la pericia mecánica en fecha 16/10/2025 y con las averías constatadas por el experto, no se advierte que los importes allí detallados resulten irrazonables o desproporcionados en relación con los daños efectivamente verificados.  En efecto, el presupuesto consigna la suma de $1.000.000 en concepto de repuestos y $1.200.000 por mano de obra, lo que arroja un costo total de reparación de $2.200.000.</w:t>
      </w:r>
    </w:p>
    <w:p>
      <w:pPr>
        <w:pStyle w:val="[Normal]"/>
        <w:spacing w:line="360" w:lineRule="auto"/>
        <w:ind w:firstLine="1134"/>
        <w:jc w:val="both"/>
        <w:rPr>
          <w:lang w:val="es-AR" w:eastAsia="es-AR" w:bidi="es-AR"/>
        </w:rPr>
      </w:pPr>
      <w:r>
        <w:rPr>
          <w:lang w:val="es-AR" w:eastAsia="es-AR" w:bidi="es-AR"/>
        </w:rPr>
        <w:t xml:space="preserve">En tales condiciones, meritando la prueba producida conforme a las reglas de la sana crítica (art. 384 del CPCC), corresponde admitir el presente rubro y fijar la indemnización por gastos de reparación en la suma de pesos dos millones doscientos mil ($2.200.000).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ind w:firstLine="1134"/>
        <w:jc w:val="both"/>
        <w:rPr>
          <w:lang w:val="es-AR" w:eastAsia="es-AR" w:bidi="es-AR"/>
        </w:rPr>
      </w:pPr>
      <w:r>
        <w:rPr>
          <w:lang w:val="es-AR" w:eastAsia="es-AR" w:bidi="es-AR"/>
        </w:rPr>
        <w:t xml:space="preserve">b) Desvalorización venal. En lo atinente al rubro desvalorización del vehículo, el recurrente estima que, como consecuencia del siniestro, el automotor habría experimentado una pérdida del 5% de su valor de mercado, reclamando por tal concepto la suma de pesos trescientos cincuenta mil ($350.000).-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ind w:firstLine="1134"/>
        <w:jc w:val="both"/>
        <w:rPr>
          <w:b/>
          <w:lang w:val="es-AR" w:eastAsia="es-AR" w:bidi="es-AR"/>
        </w:rPr>
      </w:pPr>
      <w:r>
        <w:rPr>
          <w:lang w:val="es-AR" w:eastAsia="es-AR" w:bidi="es-AR"/>
        </w:rPr>
        <w:t xml:space="preserve">La desvalorización venal del automotor siniestrado -en sentido técnico estricto- constituye un capítulo indemnizatorio autónomo y residual, que se configura cuando bajo el antecedente (real o hipotético) de la ejecución de las reparaciones reputadas como idóneas, subsisten secuelas del accidente que inciden negativamente en la cotización económica del vehículo, cuya configuración suele supeditarse a la afectación de partes estructurales y debe ser acreditada cabalmente, en especial a través de un peritaje técnico. Se sigue de ello que la desvalorización venal no es un perjuicio inexorable en todo choque, aunque tampoco puede exigirse la constante afectación de partes vitales; a veces, aún el menoscabo de piezas fundamentales no determinará la producción de alguna merma en el valor venal del automotor (CC0102 MP 165251 180-S S 14/08/2018 JUBA B5052109).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ind w:firstLine="1134"/>
        <w:jc w:val="both"/>
        <w:rPr>
          <w:lang w:val="es-AR" w:eastAsia="es-AR" w:bidi="es-AR"/>
        </w:rPr>
      </w:pPr>
      <w:r>
        <w:rPr>
          <w:lang w:val="es-AR" w:eastAsia="es-AR" w:bidi="es-AR"/>
        </w:rPr>
        <w:t xml:space="preserve">En el caso de autos, el perito ingeniero Ferretti no informó que el vehículo hubiera sufrido daños estructurales o de significativa entidad susceptibles de incidir en su cotización en el mercado.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ind w:firstLine="1134"/>
        <w:jc w:val="both"/>
        <w:rPr>
          <w:lang w:val="es-AR" w:eastAsia="es-AR" w:bidi="es-AR"/>
        </w:rPr>
      </w:pPr>
      <w:r>
        <w:rPr>
          <w:lang w:val="es-AR" w:eastAsia="es-AR" w:bidi="es-AR"/>
        </w:rPr>
        <w:t xml:space="preserve">Por el contrario, de las fotografías acompañadas surge que las averías se circunscribieron a un abollón en el guardabarros delantero izquierdo y al desprendimiento parcial del paragolpes delantero en ese mismo sector, daños de carácter superficial y estético que no evidencian compromiso de la estructura del rodado.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ind w:firstLine="1134"/>
        <w:jc w:val="both"/>
        <w:rPr>
          <w:lang w:val="es-AR" w:eastAsia="es-AR" w:bidi="es-AR"/>
        </w:rPr>
      </w:pPr>
      <w:r>
        <w:rPr>
          <w:lang w:val="es-AR" w:eastAsia="es-AR" w:bidi="es-AR"/>
        </w:rPr>
        <w:t xml:space="preserve">En tales condiciones, y no existiendo prueba técnica que acredite la efectiva pérdida del valor venal invocada por la actora, corresponde desestimar el presente rubro.</w:t>
      </w:r>
    </w:p>
    <w:p>
      <w:pPr>
        <w:pStyle w:val="[Normal]"/>
        <w:spacing w:line="360" w:lineRule="auto"/>
        <w:ind w:firstLine="1134"/>
        <w:jc w:val="both"/>
        <w:rPr>
          <w:lang w:val="es-AR" w:eastAsia="es-AR" w:bidi="es-AR"/>
        </w:rPr>
      </w:pPr>
      <w:r>
        <w:rPr>
          <w:lang w:val="es-AR" w:eastAsia="es-AR" w:bidi="es-AR"/>
        </w:rPr>
        <w:t xml:space="preserve">c) Privación de uso. La actora reclamó el resarcimiento por la privación del uso de su vehículo durante el período de reparación.</w:t>
      </w:r>
    </w:p>
    <w:p>
      <w:pPr>
        <w:pStyle w:val="[Normal]"/>
        <w:spacing w:line="360" w:lineRule="auto"/>
        <w:ind w:firstLine="1134"/>
        <w:jc w:val="both"/>
        <w:rPr>
          <w:lang w:val="es-AR" w:eastAsia="es-AR" w:bidi="es-AR"/>
        </w:rPr>
      </w:pPr>
      <w:r>
        <w:rPr>
          <w:lang w:val="es-AR" w:eastAsia="es-AR" w:bidi="es-AR"/>
        </w:rPr>
        <w:t xml:space="preserve">El actor reclamó la suma de $300.000 por gastos de movilidad derivados de la privación del uso del vehículo.</w:t>
      </w:r>
    </w:p>
    <w:p>
      <w:pPr>
        <w:pStyle w:val="[Normal]"/>
        <w:spacing w:line="360" w:lineRule="auto"/>
        <w:ind w:firstLine="1134"/>
        <w:jc w:val="both"/>
        <w:rPr>
          <w:lang w:val="es-AR" w:eastAsia="es-AR" w:bidi="es-AR"/>
        </w:rPr>
      </w:pPr>
      <w:r>
        <w:rPr>
          <w:lang w:val="es-AR" w:eastAsia="es-AR" w:bidi="es-AR"/>
        </w:rPr>
        <w:t xml:space="preserve">La jurisprudencia ha sostenido que: </w:t>
      </w:r>
      <w:r>
        <w:rPr>
          <w:i/>
          <w:lang w:val="es-AR" w:eastAsia="es-AR" w:bidi="es-AR"/>
        </w:rPr>
        <w:t xml:space="preserve">"La existencia del daño por privación de uso del rodado debe ser acreditada, toda vez que no procede "in re ipsa" del solo hecho de la privación del uso durante el tiempo que demande la realización de las reparaciones de lo daños materiales causados por el accidente"</w:t>
      </w:r>
      <w:r>
        <w:rPr>
          <w:lang w:val="es-AR" w:eastAsia="es-AR" w:bidi="es-AR"/>
        </w:rPr>
        <w:t xml:space="preserve"> (CC0002 SM 85695 320 S 14/10/2025 JUBA B2003718).</w:t>
      </w:r>
    </w:p>
    <w:p>
      <w:pPr>
        <w:pStyle w:val="[Normal]"/>
        <w:spacing w:line="360" w:lineRule="auto"/>
        <w:ind w:firstLine="1134"/>
        <w:jc w:val="both"/>
        <w:rPr>
          <w:lang w:val="es-AR" w:eastAsia="es-AR" w:bidi="es-AR"/>
        </w:rPr>
      </w:pPr>
      <w:r>
        <w:rPr>
          <w:lang w:val="es-AR" w:eastAsia="es-AR" w:bidi="es-AR"/>
        </w:rPr>
        <w:t xml:space="preserve">En tal linea de ideas, la procedencia del rubro exigía que la reclamante acreditara, mediante prueba concreta y suficiente, los gastos efectivamente afrontados como consecuencia de la indisponibilidad del automotor.</w:t>
      </w:r>
    </w:p>
    <w:p>
      <w:pPr>
        <w:pStyle w:val="[Normal]"/>
        <w:spacing w:line="360" w:lineRule="auto"/>
        <w:ind w:firstLine="1134"/>
        <w:jc w:val="both"/>
        <w:rPr>
          <w:lang w:val="es-AR" w:eastAsia="es-AR" w:bidi="es-AR"/>
        </w:rPr>
      </w:pPr>
      <w:r>
        <w:rPr>
          <w:lang w:val="es-AR" w:eastAsia="es-AR" w:bidi="es-AR"/>
        </w:rPr>
        <w:t xml:space="preserve">Sin embargo, de las constancias de autos no surge elemento probatorio alguno que permita tener por demostrados tales extremos, desde que no se acompañaron comprobantes, recibos ni otra evidencia idónea que acredite los gastos invocados o la efectiva erogación derivada de la alegada privación de uso.</w:t>
      </w:r>
    </w:p>
    <w:p>
      <w:pPr>
        <w:pStyle w:val="[Normal]"/>
        <w:spacing w:line="360" w:lineRule="auto"/>
        <w:ind w:firstLine="1134"/>
        <w:jc w:val="both"/>
        <w:rPr>
          <w:lang w:val="es-AR" w:eastAsia="es-AR" w:bidi="es-AR"/>
        </w:rPr>
      </w:pPr>
      <w:r>
        <w:rPr>
          <w:lang w:val="es-AR" w:eastAsia="es-AR" w:bidi="es-AR"/>
        </w:rPr>
        <w:t xml:space="preserve">En consecuencia, ante la ausencia de prueba suficiente sobre la existencia y cuantía del perjuicio reclamado, corresponde rechazar la indemnización pretendida.</w:t>
      </w:r>
    </w:p>
    <w:p>
      <w:pPr>
        <w:pStyle w:val="[Normal]"/>
        <w:spacing w:line="360" w:lineRule="auto"/>
        <w:ind w:firstLine="1134"/>
        <w:jc w:val="both"/>
        <w:rPr>
          <w:u w:val="single"/>
          <w:lang w:val="es-AR" w:eastAsia="es-AR" w:bidi="es-AR"/>
        </w:rPr>
      </w:pPr>
      <w:r>
        <w:rPr>
          <w:lang w:val="es-AR" w:eastAsia="es-AR" w:bidi="es-AR"/>
        </w:rPr>
        <w:t xml:space="preserve">d) Daño moral.</w:t>
      </w:r>
    </w:p>
    <w:p>
      <w:pPr>
        <w:pStyle w:val="[Normal]"/>
        <w:spacing w:line="360" w:lineRule="auto"/>
        <w:ind w:firstLine="1134"/>
        <w:jc w:val="both"/>
        <w:rPr>
          <w:b/>
          <w:lang w:val="es-AR" w:eastAsia="es-AR" w:bidi="es-AR"/>
        </w:rPr>
      </w:pPr>
      <w:r>
        <w:rPr>
          <w:lang w:val="es-AR" w:eastAsia="es-AR" w:bidi="es-AR"/>
        </w:rPr>
        <w:t xml:space="preserve">Con relación al presente rubro, la Sra. Bermejo reclama la suma de pesos cuatro millones trescientos cincuenta y un mil cuarenta y ocho ($4.351.048), equivalente al costo de un viaje de seis noches a las ciudades de Ushuaia y El Calafate para cuatro personas, invocándolo como parámetro para la cuantificación del daño extrapatrimonial.</w:t>
      </w:r>
    </w:p>
    <w:p>
      <w:pPr>
        <w:pStyle w:val="[Normal]"/>
        <w:spacing w:line="360" w:lineRule="auto"/>
        <w:ind w:firstLine="1134"/>
        <w:jc w:val="both"/>
        <w:rPr>
          <w:lang w:val="es-AR" w:eastAsia="es-AR" w:bidi="es-AR"/>
        </w:rPr>
      </w:pPr>
      <w:r>
        <w:rPr>
          <w:lang w:val="es-AR" w:eastAsia="es-AR" w:bidi="es-AR"/>
        </w:rPr>
        <w:t xml:space="preserve">Como punto de partida, corresponde señalar que esta Alzada no adhiere a la utilización de la denominada teoría de los "placeres compensatorios" como criterio exclusivo para la determinación del quantum indemnizatorio del daño no patrimonial. Si bien el costo de determinados bienes o servicios susceptibles de proporcionar satisfacciones sustitutivas puede constituir una referencia orientativa propuesta por la parte, ello no sustituye el deber del juzgador de ponderar las concretas circunstancias del caso, la entidad de la afectación espiritual acreditada y las pautas de razonabilidad y equidad que deben presidir la fijación de la indemnización (art. 165 del C.P.C.C.).</w:t>
      </w:r>
    </w:p>
    <w:p>
      <w:pPr>
        <w:pStyle w:val="[Normal]"/>
        <w:spacing w:line="360" w:lineRule="auto"/>
        <w:ind w:firstLine="1134"/>
        <w:jc w:val="both"/>
        <w:rPr>
          <w:lang w:val="es-AR" w:eastAsia="es-AR" w:bidi="es-AR"/>
        </w:rPr>
      </w:pPr>
      <w:r>
        <w:rPr>
          <w:lang w:val="es-AR" w:eastAsia="es-AR" w:bidi="es-AR"/>
        </w:rPr>
        <w:t xml:space="preserve">Sobre este piso de marcha, ha dicho este Tribunal que: "como en esta materia es imposible producir prueba directa sobre el perjuicio padecido dado que la índole espiritual y subjetiva del menoscabo suele ser insusceptible de este tipo de acreditación, cobra valor la prueba indirecta la que con frecuencia -y como acontece en la especie- surge in re ipsa del hecho dañoso integralmente considerado.  Al decir de Bustamante Alsina, "...no creemos que el agravio moral debe ser objeto de prueba directa, pues ello resulta absolutamente imposible por la índole del mismo que reside en lo más íntimo de la personalidad...´ (BUSTAMANTE ALSINA, Equitativa valuación del daño no mensurable, LL, 1990-A-655). (...) Así pues la prueba indirecta del daño moral encuentra en los indicios y en las presunciones hominis, su modo natural de realización. Deben de tal modo, probarse los hechos en los que se basa la presunción. En la razonable conexión entre el hecho indicativo (el cual no está exento de prueba) y el hecho indicado yace la eficacia de la prueba presuncional (art. 384 del CPBA; así también lo ha estimado esta Cámara en los autos N° en los autos N° 2204- 14 caratulados "Bada, Yesica Rita c/ Cantore, Luciano y Otro/a s/ Daños y Perj. Del./Cuas. (Exc. Uso Aut. y Estado)".</w:t>
      </w:r>
    </w:p>
    <w:p>
      <w:pPr>
        <w:pStyle w:val="[Normal]"/>
        <w:spacing w:line="360" w:lineRule="auto"/>
        <w:ind w:firstLine="1134"/>
        <w:jc w:val="both"/>
        <w:rPr>
          <w:lang w:val="es-AR" w:eastAsia="es-AR" w:bidi="es-AR"/>
        </w:rPr>
      </w:pPr>
      <w:r>
        <w:rPr>
          <w:lang w:val="es-AR" w:eastAsia="es-AR" w:bidi="es-AR"/>
        </w:rPr>
        <w:t xml:space="preserve">De las constancias de la causa surge que el vehículo de la actora se encontraba estacionado al momento de la colisión y que el hecho no le ocasionó lesiones físicas, no hallándose ella presente al producirse el impacto. Sin embargo, tal circunstancia no constituye  un obstáculo para la procedencia del daño extrapatrimonial.</w:t>
      </w:r>
    </w:p>
    <w:p>
      <w:pPr>
        <w:pStyle w:val="[Normal]"/>
        <w:spacing w:line="360" w:lineRule="auto"/>
        <w:ind w:firstLine="1134"/>
        <w:jc w:val="both"/>
        <w:rPr>
          <w:lang w:val="es-AR" w:eastAsia="es-AR" w:bidi="es-AR"/>
        </w:rPr>
      </w:pPr>
      <w:r>
        <w:rPr>
          <w:lang w:val="es-AR" w:eastAsia="es-AR" w:bidi="es-AR"/>
        </w:rPr>
        <w:t xml:space="preserve">En ese contexto, la colisión sufrida por el vehículo de propiedad de la actora, las gestiones que debió realizar para obtener la reparación del daño y la persistencia del incumplimiento por parte de la aseguradora que la obligó a promover la presente acción para obtener el reconocimiento de un derecho que estimaba legítimo constituyen circunstancias que apreciadas en su conjunto, permiten presumir la existencia de una mortificación espiritual que excede las meras incomodidades propias de la vida y justifica el reconocimiento del rubro reclamado.</w:t>
      </w:r>
    </w:p>
    <w:p>
      <w:pPr>
        <w:pStyle w:val="[Normal]"/>
        <w:spacing w:line="360" w:lineRule="auto"/>
        <w:ind w:firstLine="1134"/>
        <w:jc w:val="both"/>
        <w:rPr>
          <w:lang w:val="es-AR" w:eastAsia="es-AR" w:bidi="es-AR"/>
        </w:rPr>
      </w:pPr>
      <w:r>
        <w:rPr>
          <w:lang w:val="es-AR" w:eastAsia="es-AR" w:bidi="es-AR"/>
        </w:rPr>
        <w:t xml:space="preserve">En tal sentido, este Tribunal ha resuelto en precedentes análogos que la inexistencia de lesiones físicas no impide la procedencia del daño moral cuando las particularidades del caso revelan una afectación extrapatrimonial susceptible de reparación (conf. causa n.° 4338/23, S.D. del 26/10/2023, RSD 156/2023), criterio que corresponde mantener en la presente causa.</w:t>
      </w:r>
    </w:p>
    <w:p>
      <w:pPr>
        <w:pStyle w:val="[Normal]"/>
        <w:spacing w:line="360" w:lineRule="auto"/>
        <w:ind w:firstLine="1134"/>
        <w:jc w:val="both"/>
        <w:rPr>
          <w:lang w:val="es-AR" w:eastAsia="es-AR" w:bidi="es-AR"/>
        </w:rPr>
      </w:pPr>
      <w:r>
        <w:rPr>
          <w:lang w:val="es-AR" w:eastAsia="es-AR" w:bidi="es-AR"/>
        </w:rPr>
        <w:t xml:space="preserve">Ahora bien, la cuantía pretendida por la accionante aparece desproporcionada frente a las concretas circunstancias acreditadas, desde que el hecho dañoso produjo exclusivamente daños materiales sobre un vehículo estacionado, sin consecuencias sobre la integridad física de la reclamante ni acreditación de especiales repercusiones personales de mayor entidad.</w:t>
      </w:r>
    </w:p>
    <w:p>
      <w:pPr>
        <w:pStyle w:val="[Normal]"/>
        <w:spacing w:line="360" w:lineRule="auto"/>
        <w:ind w:firstLine="1134"/>
        <w:jc w:val="both"/>
        <w:rPr>
          <w:lang w:val="es-AR" w:eastAsia="es-AR" w:bidi="es-AR"/>
        </w:rPr>
      </w:pPr>
      <w:r>
        <w:rPr>
          <w:lang w:val="es-AR" w:eastAsia="es-AR" w:bidi="es-AR"/>
        </w:rPr>
        <w:t xml:space="preserve">En tales condiciones, ponderando la naturaleza y gravedad del hecho y las pautas de prudente apreciación judicial y las facultades conferidas por el art. 165 del CPCC, propongo al Acuerdo fijar la indemnización por daño moral en la suma de pesos quinientos mil ($500.000).</w:t>
      </w:r>
    </w:p>
    <w:p>
      <w:pPr>
        <w:pStyle w:val="[Normal]"/>
        <w:spacing w:line="360" w:lineRule="auto"/>
        <w:ind w:firstLine="1134"/>
        <w:jc w:val="both"/>
        <w:rPr>
          <w:lang w:val="es-AR" w:eastAsia="es-AR" w:bidi="es-AR"/>
        </w:rPr>
      </w:pPr>
      <w:r>
        <w:rPr>
          <w:lang w:val="es-AR" w:eastAsia="es-AR" w:bidi="es-AR"/>
        </w:rPr>
        <w:t xml:space="preserve">e) La inconstitucionalidad de los arts. 7 y 10 de la Ley 23.928.</w:t>
      </w:r>
    </w:p>
    <w:p>
      <w:pPr>
        <w:pStyle w:val="[Normal]"/>
        <w:spacing w:line="360" w:lineRule="auto"/>
        <w:ind w:firstLine="1134"/>
        <w:jc w:val="both"/>
        <w:rPr>
          <w:lang w:val="es-AR" w:eastAsia="es-AR" w:bidi="es-AR"/>
        </w:rPr>
      </w:pPr>
      <w:r>
        <w:rPr>
          <w:lang w:val="es-AR" w:eastAsia="es-AR" w:bidi="es-AR"/>
        </w:rPr>
        <w:t xml:space="preserve">La actora solicitó la declaración de inconstitucionalidad de los arts. 7 y 10 de la Ley 23.928 y la aplicación de mecanismos de actualización monetaria en los términos de la doctrina legal "Barrios" de la SCBA. </w:t>
      </w:r>
    </w:p>
    <w:p>
      <w:pPr>
        <w:pStyle w:val="[Normal]"/>
        <w:spacing w:line="360" w:lineRule="auto"/>
        <w:ind w:firstLine="1134"/>
        <w:jc w:val="both"/>
        <w:rPr>
          <w:b/>
          <w:lang w:val="es-AR" w:eastAsia="es-AR" w:bidi="es-AR"/>
        </w:rPr>
      </w:pPr>
      <w:r>
        <w:rPr>
          <w:lang w:val="es-AR" w:eastAsia="es-AR" w:bidi="es-AR"/>
        </w:rPr>
        <w:t xml:space="preserve">La declaración de inconstitucionalidad no encuentra sustento suficiente en las constancias de la causa. Es sabido que la descalificación constitucional de una norma constituye un remedio de excepción y de última ratio, que exige la demostración concreta de una afectación grave y sustancial de derechos constitucionalmente protegidos.</w:t>
      </w:r>
    </w:p>
    <w:p>
      <w:pPr>
        <w:pStyle w:val="[Normal]"/>
        <w:spacing w:line="360" w:lineRule="auto"/>
        <w:ind w:firstLine="1134"/>
        <w:jc w:val="both"/>
        <w:rPr>
          <w:lang w:val="es-AR" w:eastAsia="es-AR" w:bidi="es-AR"/>
        </w:rPr>
      </w:pPr>
      <w:r>
        <w:rPr>
          <w:lang w:val="es-AR" w:eastAsia="es-AR" w:bidi="es-AR"/>
        </w:rPr>
        <w:t xml:space="preserve">En el caso, no se efectuó análisis alguno que permitiera concluir que el régimen aplicable -capital más intereses- resulta insuficiente para preservar el valor económico del crédito, ni se realizó una comparación objetiva que evidenciara una pérdida patrimonial de entidad tal que justificara la invalidez constitucional de los arts. 7 y 10 de la ley 23.928.</w:t>
      </w:r>
    </w:p>
    <w:p>
      <w:pPr>
        <w:pStyle w:val="[Normal]"/>
        <w:spacing w:line="360" w:lineRule="auto"/>
        <w:ind w:firstLine="1134"/>
        <w:jc w:val="both"/>
        <w:rPr>
          <w:lang w:val="es-AR" w:eastAsia="es-AR" w:bidi="es-AR"/>
        </w:rPr>
      </w:pPr>
      <w:r>
        <w:rPr>
          <w:lang w:val="es-AR" w:eastAsia="es-AR" w:bidi="es-AR"/>
        </w:rPr>
        <w:t xml:space="preserve">En consecuencia, no se acreditaron los presupuestos excepcionales que habilitarían la declaración de inconstitucionalidad dispuesta por lo que no corresponde su aplicación.</w:t>
      </w:r>
    </w:p>
    <w:p>
      <w:pPr>
        <w:pStyle w:val="[Normal]"/>
        <w:spacing w:line="360" w:lineRule="auto"/>
        <w:ind w:firstLine="1134"/>
        <w:jc w:val="both"/>
        <w:rPr>
          <w:lang w:val="es-AR" w:eastAsia="es-AR" w:bidi="es-AR"/>
        </w:rPr>
      </w:pPr>
      <w:r>
        <w:rPr>
          <w:lang w:val="es-AR" w:eastAsia="es-AR" w:bidi="es-AR"/>
        </w:rPr>
        <w:t xml:space="preserve">f). Intereses:</w:t>
      </w:r>
    </w:p>
    <w:p>
      <w:pPr>
        <w:pStyle w:val="[Normal]"/>
        <w:spacing w:line="360" w:lineRule="auto"/>
        <w:ind w:firstLine="1134"/>
        <w:jc w:val="both"/>
        <w:rPr>
          <w:lang w:val="es-AR" w:eastAsia="es-AR" w:bidi="es-AR"/>
        </w:rPr>
      </w:pPr>
      <w:r>
        <w:rPr>
          <w:lang w:val="es-AR" w:eastAsia="es-AR" w:bidi="es-AR"/>
        </w:rPr>
        <w:t xml:space="preserve">En punto a los intereses se aplican al rubro daño material una tasa pura del 6% entre la fecha del accidente (</w:t>
      </w:r>
      <w:r>
        <w:rPr>
          <w:lang w:val="es-AR" w:eastAsia="es-AR" w:bidi="es-AR"/>
        </w:rPr>
        <w:t xml:space="preserve">27-9-2024)</w:t>
      </w:r>
      <w:r>
        <w:rPr>
          <w:lang w:val="es-AR" w:eastAsia="es-AR" w:bidi="es-AR"/>
        </w:rPr>
        <w:t xml:space="preserve"> y la fecha en que se confecciona el presupuesto de reparación del vehículo (20-11-2025). Y de allí en adelante, la tasa pasiva más alta para los depósitos a plazo fijo que paga el Banco Provincia para sus depósitos a 30 días hasta el efectivo pago. Y respecto del daño moral desde la fecha del accidente (27-9-2024) y la presente sentencia una tasa pura del 6% y de allí en adelante la tasa pasiva más alta para los depósitos a plazo fijo que paga el Banco Provincia para sus depósitos a 30 días hasta el efectivo pago.</w:t>
      </w:r>
      <w:r>
        <w:rPr>
          <w:color w:val="000000"/>
          <w:sz w:val="21"/>
          <w:shd w:val="clear" w:color="auto" w:fill="FFFFFF"/>
          <w:lang w:val="es-AR" w:eastAsia="es-AR" w:bidi="es-AR"/>
        </w:rPr>
        <w:t xml:space="preserve">(</w:t>
      </w:r>
      <w:r>
        <w:rPr>
          <w:lang w:val="es-AR" w:eastAsia="es-AR" w:bidi="es-AR"/>
        </w:rPr>
        <w:t xml:space="preserve">SCBA, "Vera, Juan Carlos contra Provincia de Buenos Aires. Daños y perjuicios", causa C. 120.536, 18/04/2018; </w:t>
      </w:r>
      <w:r>
        <w:rPr>
          <w:color w:val="000000"/>
          <w:shd w:val="clear" w:color="auto" w:fill="FFFFFF"/>
          <w:lang w:val="es-AR" w:eastAsia="es-AR" w:bidi="es-AR"/>
        </w:rPr>
        <w:t xml:space="preserve">SCJBA, "Nidera S. A. contra Provincia de Buenos Aires. Daños y perjuicios", C. 121.134, 3/5/2018).</w:t>
      </w:r>
    </w:p>
    <w:p>
      <w:pPr>
        <w:pStyle w:val="[Normal]"/>
        <w:spacing w:line="360" w:lineRule="auto"/>
        <w:ind w:firstLine="1134"/>
        <w:jc w:val="both"/>
        <w:rPr>
          <w:lang w:val="es-AR" w:eastAsia="es-AR" w:bidi="es-AR"/>
        </w:rPr>
      </w:pPr>
      <w:r>
        <w:rPr>
          <w:lang w:val="es-AR" w:eastAsia="es-AR" w:bidi="es-AR"/>
        </w:rPr>
        <w:t xml:space="preserve">VII.- Costas.</w:t>
      </w:r>
    </w:p>
    <w:p>
      <w:pPr>
        <w:pStyle w:val="[Normal]"/>
        <w:spacing w:line="360" w:lineRule="auto"/>
        <w:ind w:firstLine="1134"/>
        <w:jc w:val="both"/>
        <w:rPr>
          <w:lang w:val="es-AR" w:eastAsia="es-AR" w:bidi="es-AR"/>
        </w:rPr>
      </w:pPr>
      <w:r>
        <w:rPr>
          <w:lang w:val="es-AR" w:eastAsia="es-AR" w:bidi="es-AR"/>
        </w:rPr>
        <w:t xml:space="preserve">Dado que la demanda prospera parcialmente -se hace lugar a tres de los cuatro rubros reclamados- y teniendo en cuenta la proporcionalidad del resultado, las costas de ambas instancias se imponen a la demandada y a la citada en garantía, en su carácter de vencidas en lo sustancial del litigio (art. 68, CPCC; art. 118, ley 17.418).</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NEGATIVA</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la señora Jueza Graciela Scaraffia dijo: De conformidad al resultado habido al tratarse la cuestión precedente, estimo que el pronunciamiento que corresponde dictar es:</w:t>
      </w:r>
    </w:p>
    <w:p>
      <w:pPr>
        <w:pStyle w:val="[Normal]"/>
        <w:spacing w:line="360" w:lineRule="auto"/>
        <w:ind w:firstLine="1134"/>
        <w:jc w:val="both"/>
        <w:rPr>
          <w:lang w:val="es-AR" w:eastAsia="es-AR" w:bidi="es-AR"/>
        </w:rPr>
      </w:pPr>
      <w:r>
        <w:rPr>
          <w:lang w:val="es-AR" w:eastAsia="es-AR" w:bidi="es-AR"/>
        </w:rPr>
        <w:t xml:space="preserve">1°) Hacer lugar al recurso de apelación interpuesto por la parte actora, Macarena Bermejo Restelli, y en consecuencia revocar la sentencia  dictada en fecha 6 de abril de 2026.</w:t>
      </w:r>
    </w:p>
    <w:p>
      <w:pPr>
        <w:pStyle w:val="[Normal]"/>
        <w:spacing w:line="360" w:lineRule="auto"/>
        <w:ind w:firstLine="1134"/>
        <w:jc w:val="both"/>
        <w:rPr>
          <w:lang w:val="es-AR" w:eastAsia="es-AR" w:bidi="es-AR"/>
        </w:rPr>
      </w:pPr>
      <w:r>
        <w:rPr>
          <w:lang w:val="es-AR" w:eastAsia="es-AR" w:bidi="es-AR"/>
        </w:rPr>
        <w:t xml:space="preserve">2°) En consecuencia acoger la demanda de daños y perjuicios promovida por Macarena Bermejo Restelli contra Oscar Francisco González, y condenar a este último y a su citada en garantía Segurometal Cooperativa de Seguros Ltda. -en los límites de la cobertura contratada- a abonar a la actora, en el plazo de diez (10) días de quedar firme la presente, los rubros e importes  admitidos en los considerandos de la presente con más los intereses establecidos en el punto VI.</w:t>
      </w:r>
    </w:p>
    <w:p>
      <w:pPr>
        <w:pStyle w:val="[Normal]"/>
        <w:spacing w:line="360" w:lineRule="auto"/>
        <w:ind w:firstLine="1134"/>
        <w:jc w:val="both"/>
        <w:rPr>
          <w:lang w:val="es-AR" w:eastAsia="es-AR" w:bidi="es-AR"/>
        </w:rPr>
      </w:pPr>
      <w:r>
        <w:rPr>
          <w:lang w:val="es-AR" w:eastAsia="es-AR" w:bidi="es-AR"/>
        </w:rPr>
        <w:t xml:space="preserve">3°) Imponer las costas de ambas instancias a la parte demandada y a la citada en garantía, en su carácter de vencidas (arts. 68 y 274, CPCC; art. 118, ley 17.418).</w:t>
      </w:r>
    </w:p>
    <w:p>
      <w:pPr>
        <w:pStyle w:val="[Normal]"/>
        <w:spacing w:line="360" w:lineRule="auto"/>
        <w:ind w:firstLine="1134"/>
        <w:jc w:val="both"/>
        <w:rPr>
          <w:lang w:val="es-AR" w:eastAsia="es-AR" w:bidi="es-AR"/>
        </w:rPr>
      </w:pPr>
      <w:r>
        <w:rPr>
          <w:lang w:val="es-AR" w:eastAsia="es-AR" w:bidi="es-AR"/>
        </w:rPr>
        <w:t xml:space="preserve">4°) Diferir la regulación de honorarios de los profesionales intervinientes en ambas instancias hasta que se practique liquidación (arts. 23, 31, 51 y concordantes, ley 14.967).</w:t>
      </w:r>
    </w:p>
    <w:p>
      <w:pPr>
        <w:pStyle w:val="[Normal]"/>
        <w:spacing w:line="360" w:lineRule="auto"/>
        <w:ind w:firstLine="1134"/>
        <w:jc w:val="both"/>
        <w:rPr>
          <w:lang w:val="es-AR" w:eastAsia="es-AR" w:bidi="es-AR"/>
        </w:rPr>
      </w:pPr>
      <w:r>
        <w:rPr>
          <w:b/>
          <w:lang w:val="es-AR" w:eastAsia="es-AR" w:bidi="es-AR"/>
        </w:rPr>
        <w:t xml:space="preserve">ASI LO VOTO. </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lang w:val="es-AR" w:eastAsia="es-AR" w:bidi="es-AR"/>
        </w:rPr>
        <w:t xml:space="preserve">S E N T E N C I A</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1°) Hacer lugar al recurso de apelación interpuesto por la parte actora, Macarena Bermejo Restelli, y en consecuencia revocar la sentencia  dictada en fecha 6 de abril de 2026.</w:t>
      </w:r>
    </w:p>
    <w:p>
      <w:pPr>
        <w:pStyle w:val="[Normal]"/>
        <w:spacing w:line="360" w:lineRule="auto"/>
        <w:ind w:firstLine="1134"/>
        <w:jc w:val="both"/>
        <w:rPr>
          <w:lang w:val="es-AR" w:eastAsia="es-AR" w:bidi="es-AR"/>
        </w:rPr>
      </w:pPr>
      <w:r>
        <w:rPr>
          <w:lang w:val="es-AR" w:eastAsia="es-AR" w:bidi="es-AR"/>
        </w:rPr>
        <w:t xml:space="preserve">2°) En consecuencia acoger la demanda de daños y perjuicios promovida por Macarena Bermejo Restelli contra Oscar Francisco González, y condenar a este último y a su citada en garantía Segurometal Cooperativa de Seguros Ltda. -en los límites de la cobertura contratada- a abonar a la actora, en el plazo de diez (10) días de quedar firme la presente, los rubros e importes  admitidos en los considerandos de la presente con más los intereses establecidos en el punto VI.</w:t>
      </w:r>
    </w:p>
    <w:p>
      <w:pPr>
        <w:pStyle w:val="[Normal]"/>
        <w:spacing w:line="360" w:lineRule="auto"/>
        <w:ind w:firstLine="1134"/>
        <w:jc w:val="both"/>
        <w:rPr>
          <w:lang w:val="es-AR" w:eastAsia="es-AR" w:bidi="es-AR"/>
        </w:rPr>
      </w:pPr>
      <w:r>
        <w:rPr>
          <w:lang w:val="es-AR" w:eastAsia="es-AR" w:bidi="es-AR"/>
        </w:rPr>
        <w:t xml:space="preserve">3°) Imponer las costas de ambas instancias a la parte demandada y a la citada en garantía, en su carácter de vencidas (arts. 68 y 274, CPCC; art. 118, ley 17.418).</w:t>
      </w:r>
    </w:p>
    <w:p>
      <w:pPr>
        <w:pStyle w:val="[Normal]"/>
        <w:spacing w:line="360" w:lineRule="auto"/>
        <w:ind w:firstLine="1134"/>
        <w:jc w:val="both"/>
        <w:rPr>
          <w:lang w:val="es-AR" w:eastAsia="es-AR" w:bidi="es-AR"/>
        </w:rPr>
      </w:pPr>
      <w:r>
        <w:rPr>
          <w:lang w:val="es-AR" w:eastAsia="es-AR" w:bidi="es-AR"/>
        </w:rPr>
        <w:t xml:space="preserve">4°) Diferir la regulación de honorarios de los profesionales intervinientes en ambas instancias hasta que se practique liquidación (arts. 23, 31, 51 y concordantes, ley 14.967).</w:t>
      </w:r>
    </w:p>
    <w:p>
      <w:pPr>
        <w:pStyle w:val="[Normal]"/>
        <w:rPr>
          <w:lang w:val="es-AR" w:eastAsia="es-AR" w:bidi="es-AR"/>
        </w:rPr>
      </w:pPr>
      <w:r>
        <w:rPr>
          <w:lang w:val="es-AR" w:eastAsia="es-AR" w:bidi="es-AR"/>
        </w:rPr>
        <w:t xml:space="preserve">Regístrese. Notifíquese por Secretaría (Ac. 4013 SCBA) remitiéndose copia digital de la presente sentencia a los domicilios electrónicos de las respectivas partes. Devuélvase.</w:t>
      </w: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