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spacing w:line="360" w:lineRule="auto"/>
        <w:ind w:firstLine="1134"/>
        <w:jc w:val="both"/>
        <w:rPr>
          <w:lang w:val="es-AR" w:eastAsia="es-AR" w:bidi="es-AR"/>
        </w:rPr>
      </w:pPr>
      <w:r>
        <w:rPr>
          <w:sz w:val="20"/>
          <w:lang w:val="es-AR" w:eastAsia="es-AR" w:bidi="es-AR"/>
        </w:rPr>
        <w:t xml:space="preserve"> </w:t>
      </w:r>
      <w:r>
        <w:rPr>
          <w:lang w:val="es-AR" w:eastAsia="es-AR" w:bidi="es-AR"/>
        </w:rPr>
        <w:t xml:space="preserve">En la ciudad de Pergamino, reunidos en Acuerdo Ordinario los Sres. Jueces de la Excma. Cámara de Apelación en lo Civil y Comercial del Departamento Judicial Pergamino, para dictar sentencia en la causa N° </w:t>
      </w:r>
      <w:r>
        <w:rPr>
          <w:color w:val="000000"/>
          <w:lang w:val="es-AR" w:eastAsia="es-AR" w:bidi="es-AR"/>
        </w:rPr>
        <w:t xml:space="preserve">5354-24</w:t>
      </w:r>
      <w:r>
        <w:rPr>
          <w:lang w:val="es-AR" w:eastAsia="es-AR" w:bidi="es-AR"/>
        </w:rPr>
        <w:t xml:space="preserve"> caratulada </w:t>
      </w:r>
      <w:r>
        <w:rPr>
          <w:b/>
          <w:lang w:val="es-AR" w:eastAsia="es-AR" w:bidi="es-AR"/>
        </w:rPr>
        <w:t xml:space="preserve">"</w:t>
      </w:r>
      <w:r>
        <w:rPr>
          <w:b/>
          <w:color w:val="000000"/>
          <w:lang w:val="es-AR" w:eastAsia="es-AR" w:bidi="es-AR"/>
        </w:rPr>
        <w:t xml:space="preserve">CUARTANGO JORGE NICANOR  C/ SIELE ANALIA S/ DIVISION DE CONDOMINIO</w:t>
      </w:r>
      <w:r>
        <w:rPr>
          <w:b/>
          <w:lang w:val="es-AR" w:eastAsia="es-AR" w:bidi="es-AR"/>
        </w:rPr>
        <w:t xml:space="preserve">"</w:t>
      </w:r>
      <w:r>
        <w:rPr>
          <w:lang w:val="es-AR" w:eastAsia="es-AR" w:bidi="es-AR"/>
        </w:rPr>
        <w:t xml:space="preserve">, Expte. N° 63637 del Juzgado Civil y Comercial N° 3</w:t>
      </w:r>
      <w:r>
        <w:rPr>
          <w:color w:val="0000FF"/>
          <w:lang w:val="es-AR" w:eastAsia="es-AR" w:bidi="es-AR"/>
        </w:rPr>
        <w:t xml:space="preserve">,</w:t>
      </w:r>
      <w:r>
        <w:rPr>
          <w:lang w:val="es-AR" w:eastAsia="es-AR" w:bidi="es-AR"/>
        </w:rPr>
        <w:t xml:space="preserve"> se practicó el sorteo de ley que determinó que la votación debía efectuarse en el siguiente orden: Roberto Manuel Degleue y Graciela Scaraffia, y estudiados los autos se resolvió plantear y votar las siguientes: </w:t>
      </w:r>
    </w:p>
    <w:p>
      <w:pPr>
        <w:pStyle w:val="[Normal]"/>
        <w:spacing w:line="360" w:lineRule="auto"/>
        <w:ind w:firstLine="1134"/>
        <w:jc w:val="both"/>
        <w:rPr>
          <w:lang w:val="es-AR" w:eastAsia="es-AR" w:bidi="es-AR"/>
        </w:rPr>
      </w:pPr>
      <w:r>
        <w:rPr>
          <w:b/>
          <w:lang w:val="es-AR" w:eastAsia="es-AR" w:bidi="es-AR"/>
        </w:rPr>
        <w:t xml:space="preserve">C U E S T I O N E S</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I) ¿Se ajusta a derecho la sentencia apelada?</w:t>
      </w:r>
    </w:p>
    <w:p>
      <w:pPr>
        <w:pStyle w:val="[Normal]"/>
        <w:spacing w:line="360" w:lineRule="auto"/>
        <w:ind w:firstLine="1134"/>
        <w:jc w:val="both"/>
        <w:rPr>
          <w:lang w:val="es-AR" w:eastAsia="es-AR" w:bidi="es-AR"/>
        </w:rPr>
      </w:pPr>
      <w:r>
        <w:rPr>
          <w:lang w:val="es-AR" w:eastAsia="es-AR" w:bidi="es-AR"/>
        </w:rPr>
        <w:t xml:space="preserve">II) ¿Qué pronunciamiento corresponde dictar?</w:t>
      </w:r>
    </w:p>
    <w:p>
      <w:pPr>
        <w:pStyle w:val="[Normal]"/>
        <w:spacing w:line="360" w:lineRule="auto"/>
        <w:ind w:firstLine="1134"/>
        <w:jc w:val="both"/>
        <w:rPr>
          <w:lang w:val="es-AR" w:eastAsia="es-AR" w:bidi="es-AR"/>
        </w:rPr>
      </w:pPr>
      <w:r>
        <w:rPr>
          <w:lang w:val="es-AR" w:eastAsia="es-AR" w:bidi="es-AR"/>
        </w:rPr>
        <w:t xml:space="preserve">A la primera cuestión el señor Juez Roberto Manuel Degleue dijo:</w:t>
      </w:r>
    </w:p>
    <w:p>
      <w:pPr>
        <w:pStyle w:val="[Normal]"/>
        <w:spacing w:line="360" w:lineRule="auto"/>
        <w:ind w:firstLine="1134"/>
        <w:jc w:val="both"/>
        <w:rPr>
          <w:lang w:val="es-AR" w:eastAsia="es-AR" w:bidi="es-AR"/>
        </w:rPr>
      </w:pPr>
      <w:r>
        <w:rPr>
          <w:lang w:val="es-AR" w:eastAsia="es-AR" w:bidi="es-AR"/>
        </w:rPr>
        <w:t xml:space="preserve">El a-quo reguló los honorarios de los letrados intervinientes en el presente proceso de división de condominio, tomando como base regulatoria el valor de la porción del inmueble perteneciente a los patrocinados (art. 38 ley 14.967).</w:t>
      </w:r>
    </w:p>
    <w:p>
      <w:pPr>
        <w:pStyle w:val="[Normal]"/>
        <w:spacing w:line="360" w:lineRule="auto"/>
        <w:ind w:firstLine="1134"/>
        <w:jc w:val="both"/>
        <w:rPr>
          <w:lang w:val="es-AR" w:eastAsia="es-AR" w:bidi="es-AR"/>
        </w:rPr>
      </w:pPr>
      <w:r>
        <w:rPr>
          <w:lang w:val="es-AR" w:eastAsia="es-AR" w:bidi="es-AR"/>
        </w:rPr>
        <w:t xml:space="preserve">Apelan dicha resolución los patrocinantes de ambas partes, Dres. Guillermo Milano y María Paula Moy, recursos que fueran fundados al momento de su interposición, y concedidos en relación. </w:t>
      </w:r>
    </w:p>
    <w:p>
      <w:pPr>
        <w:pStyle w:val="[Normal]"/>
        <w:spacing w:line="360" w:lineRule="auto"/>
        <w:ind w:firstLine="1134"/>
        <w:jc w:val="both"/>
        <w:rPr>
          <w:lang w:val="es-AR" w:eastAsia="es-AR" w:bidi="es-AR"/>
        </w:rPr>
      </w:pPr>
      <w:r>
        <w:rPr>
          <w:lang w:val="es-AR" w:eastAsia="es-AR" w:bidi="es-AR"/>
        </w:rPr>
        <w:t xml:space="preserve">Ingresados  los autos a ésta Alzada, se llama autos para resolver, providencia que firme a la fecha deja la causa en condiciones de ser resuelta.</w:t>
      </w:r>
    </w:p>
    <w:p>
      <w:pPr>
        <w:pStyle w:val="[Normal]"/>
        <w:spacing w:line="360" w:lineRule="auto"/>
        <w:ind w:firstLine="1134"/>
        <w:jc w:val="both"/>
        <w:rPr>
          <w:b/>
          <w:lang w:val="es-AR" w:eastAsia="es-AR" w:bidi="es-AR"/>
        </w:rPr>
      </w:pPr>
      <w:r>
        <w:rPr>
          <w:lang w:val="es-AR" w:eastAsia="es-AR" w:bidi="es-AR"/>
        </w:rPr>
        <w:t xml:space="preserve">Los recurrentes se agravian de que el juez de grado para determinar la base regulatoria de sus honorarios acudió a la tasación de fecha 18/11/23 convirtiéndola en pesos a la cotización del dolar oficial tipo vendedor, no así al dolar MEP que en aquel entonces señalara el perito tasador y fuera consentido por las partes.</w:t>
      </w:r>
    </w:p>
    <w:p>
      <w:pPr>
        <w:pStyle w:val="[Normal]"/>
        <w:spacing w:line="360" w:lineRule="auto"/>
        <w:ind w:firstLine="1134"/>
        <w:jc w:val="both"/>
        <w:rPr>
          <w:b/>
          <w:lang w:val="es-AR" w:eastAsia="es-AR" w:bidi="es-AR"/>
        </w:rPr>
      </w:pPr>
      <w:r>
        <w:rPr>
          <w:lang w:val="es-AR" w:eastAsia="es-AR" w:bidi="es-AR"/>
        </w:rPr>
        <w:t xml:space="preserve">Sostienen que aún tomándose los mismos parámetros del sentenciante, los honorarios en cuestión han sido fijados por debajo de los mínimos legales.</w:t>
      </w:r>
    </w:p>
    <w:p>
      <w:pPr>
        <w:pStyle w:val="[Normal]"/>
        <w:spacing w:line="360" w:lineRule="auto"/>
        <w:ind w:firstLine="1134"/>
        <w:jc w:val="both"/>
        <w:rPr>
          <w:lang w:val="es-AR" w:eastAsia="es-AR" w:bidi="es-AR"/>
        </w:rPr>
      </w:pPr>
      <w:r>
        <w:rPr>
          <w:lang w:val="es-AR" w:eastAsia="es-AR" w:bidi="es-AR"/>
        </w:rPr>
        <w:t xml:space="preserve">Por su parte, ponen de resalto que no se indicó cual es el valor de la porción del inmueble perteneciente a sus patrocinados, tenido en cuenta como base regulatoria.</w:t>
      </w:r>
    </w:p>
    <w:p>
      <w:pPr>
        <w:pStyle w:val="[Normal]"/>
        <w:spacing w:line="360" w:lineRule="auto"/>
        <w:ind w:firstLine="1134"/>
        <w:jc w:val="both"/>
        <w:rPr>
          <w:lang w:val="es-AR" w:eastAsia="es-AR" w:bidi="es-AR"/>
        </w:rPr>
      </w:pPr>
      <w:r>
        <w:rPr>
          <w:lang w:val="es-AR" w:eastAsia="es-AR" w:bidi="es-AR"/>
        </w:rPr>
        <w:t xml:space="preserve">Solicitan se declare la nulidad del auto regulatorio, y en consecuencia se practique nueva regulación de honorarios en el máximo de ley, afirmando que se han cumplido todas las etapas del proceso.</w:t>
      </w:r>
    </w:p>
    <w:p>
      <w:pPr>
        <w:pStyle w:val="[Normal]"/>
        <w:spacing w:line="360" w:lineRule="auto"/>
        <w:ind w:firstLine="1134"/>
        <w:jc w:val="both"/>
        <w:rPr>
          <w:lang w:val="es-AR" w:eastAsia="es-AR" w:bidi="es-AR"/>
        </w:rPr>
      </w:pPr>
      <w:r>
        <w:rPr>
          <w:lang w:val="es-AR" w:eastAsia="es-AR" w:bidi="es-AR"/>
        </w:rPr>
        <w:t xml:space="preserve">Ya en tarea, cabe recordar que la vía recursiva de nulidad, comprendida en el recurso de apelación (art. 253 del C.P.C.C.), tiene por objeto lograr la invalidación de un pronunciamiento que ha sido dictado sin sujeción a los requisitos de tiempo, lugar y forma prescriptos por la ley. Es decir, que su objeto es la invalidación de una sentencia por errores in procedendo (cfr.CC0001 SM 62022 RSD-8-10 S 16/02/2010 Juez SIRVEN (SD) JUBA B1952235).-</w:t>
      </w:r>
    </w:p>
    <w:p>
      <w:pPr>
        <w:pStyle w:val="[Normal]"/>
        <w:spacing w:line="360" w:lineRule="auto"/>
        <w:ind w:firstLine="1134"/>
        <w:jc w:val="both"/>
        <w:rPr>
          <w:b/>
          <w:lang w:val="es-AR" w:eastAsia="es-AR" w:bidi="es-AR"/>
        </w:rPr>
      </w:pPr>
      <w:r>
        <w:rPr>
          <w:lang w:val="es-AR" w:eastAsia="es-AR" w:bidi="es-AR"/>
        </w:rPr>
        <w:t xml:space="preserve">Lo que ha de colegirse con que toda regulación de honorarios debe indicar, bajo pena de nulidad, el monto del asunto si fuera susceptible de apreciación pecuniaria (cfr. arts. 15 y 16 ley 14.967).</w:t>
      </w:r>
    </w:p>
    <w:p>
      <w:pPr>
        <w:pStyle w:val="[Normal]"/>
        <w:spacing w:line="360" w:lineRule="auto"/>
        <w:ind w:firstLine="1134"/>
        <w:jc w:val="both"/>
        <w:rPr>
          <w:lang w:val="es-AR" w:eastAsia="es-AR" w:bidi="es-AR"/>
        </w:rPr>
      </w:pPr>
      <w:r>
        <w:rPr>
          <w:lang w:val="es-AR" w:eastAsia="es-AR" w:bidi="es-AR"/>
        </w:rPr>
        <w:t xml:space="preserve">Así las cosas, siendo que la cuestión suscitada en autos resulta cuantificable y no obstante el juez de grado omitió precisar</w:t>
      </w:r>
      <w:r>
        <w:rPr>
          <w:b/>
          <w:lang w:val="es-AR" w:eastAsia="es-AR" w:bidi="es-AR"/>
        </w:rPr>
        <w:t xml:space="preserve"> </w:t>
      </w:r>
      <w:r>
        <w:rPr>
          <w:lang w:val="es-AR" w:eastAsia="es-AR" w:bidi="es-AR"/>
        </w:rPr>
        <w:t xml:space="preserve">el valor de la porción del inmueble perteneciente a las partes que tuvo en cuenta como base regulatoria, limitándose a señalar el tipo de cambio de dolar que corresponde adoptar para convertir en pesos la suma indicada en la tasación allegada, estimo deviene atendible el planteo recursivo ensayado por las apelantes, correspondiendo se declare la nulidad del auto regulatorio atacado, y en consecuencia se practique nueva regulación de honorarios conforme a derecho.     </w:t>
      </w:r>
    </w:p>
    <w:p>
      <w:pPr>
        <w:pStyle w:val="[Normal]"/>
        <w:spacing w:line="360" w:lineRule="auto"/>
        <w:ind w:firstLine="1134"/>
        <w:jc w:val="both"/>
        <w:rPr>
          <w:lang w:val="es-AR" w:eastAsia="es-AR" w:bidi="es-AR"/>
        </w:rPr>
      </w:pPr>
      <w:r>
        <w:rPr>
          <w:lang w:val="es-AR" w:eastAsia="es-AR" w:bidi="es-AR"/>
        </w:rPr>
        <w:t xml:space="preserve">Por las razones dadas, citas legales de referencia y con el alcance indicado,</w:t>
      </w:r>
    </w:p>
    <w:p>
      <w:pPr>
        <w:pStyle w:val="[Normal]"/>
        <w:spacing w:line="360" w:lineRule="auto"/>
        <w:ind w:firstLine="1134"/>
        <w:jc w:val="both"/>
        <w:rPr>
          <w:lang w:val="es-AR" w:eastAsia="es-AR" w:bidi="es-AR"/>
        </w:rPr>
      </w:pPr>
      <w:r>
        <w:rPr>
          <w:b/>
          <w:lang w:val="es-AR" w:eastAsia="es-AR" w:bidi="es-AR"/>
        </w:rPr>
        <w:t xml:space="preserve">VOTO POR LA NEGATIVA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A la segunda cuestión el señor Juez Roberto Manuel Degleue dijo: </w:t>
      </w:r>
    </w:p>
    <w:p>
      <w:pPr>
        <w:pStyle w:val="[Normal]"/>
        <w:spacing w:line="360" w:lineRule="auto"/>
        <w:ind w:firstLine="1134"/>
        <w:jc w:val="both"/>
        <w:rPr>
          <w:lang w:val="es-AR" w:eastAsia="es-AR" w:bidi="es-AR"/>
        </w:rPr>
      </w:pPr>
      <w:r>
        <w:rPr>
          <w:lang w:val="es-AR" w:eastAsia="es-AR" w:bidi="es-AR"/>
        </w:rPr>
        <w:t xml:space="preserve">de conformidad al resultado habido al tratarse la cuestión precedente, estimo que el pronunciamiento que corresponde dictar es: </w:t>
      </w:r>
    </w:p>
    <w:p>
      <w:pPr>
        <w:pStyle w:val="[Normal]"/>
        <w:spacing w:line="360" w:lineRule="auto"/>
        <w:ind w:firstLine="1134"/>
        <w:jc w:val="both"/>
        <w:rPr>
          <w:lang w:val="es-AR" w:eastAsia="es-AR" w:bidi="es-AR"/>
        </w:rPr>
      </w:pPr>
      <w:r>
        <w:rPr>
          <w:lang w:val="es-AR" w:eastAsia="es-AR" w:bidi="es-AR"/>
        </w:rPr>
        <w:t xml:space="preserve">Hacer lugar a los recursos de apelación deducidos, y en su mérito declarar la nulidad del auto regulatorio puesto en crisis, ordenándose se practique una nueva regulación de honorarios conforme a derecho.</w:t>
      </w:r>
    </w:p>
    <w:p>
      <w:pPr>
        <w:pStyle w:val="[Normal]"/>
        <w:spacing w:line="360" w:lineRule="auto"/>
        <w:ind w:firstLine="1134"/>
        <w:jc w:val="both"/>
        <w:rPr>
          <w:lang w:val="es-AR" w:eastAsia="es-AR" w:bidi="es-AR"/>
        </w:rPr>
      </w:pPr>
      <w:r>
        <w:rPr>
          <w:b/>
          <w:lang w:val="es-AR" w:eastAsia="es-AR" w:bidi="es-AR"/>
        </w:rPr>
        <w:t xml:space="preserve">ASI LO VOTO. </w:t>
      </w:r>
    </w:p>
    <w:p>
      <w:pPr>
        <w:pStyle w:val="[Normal]"/>
        <w:spacing w:line="360" w:lineRule="auto"/>
        <w:ind w:firstLine="1134"/>
        <w:jc w:val="both"/>
        <w:rPr>
          <w:lang w:val="es-AR" w:eastAsia="es-AR" w:bidi="es-AR"/>
        </w:rPr>
      </w:pPr>
      <w:r>
        <w:rPr>
          <w:lang w:val="es-AR" w:eastAsia="es-AR" w:bidi="es-AR"/>
        </w:rPr>
        <w:t xml:space="preserve">A la misma cuestión la señora Jueza Graciela Scaraffia por análogos fundamentos votó en el mismo sentido.-</w:t>
      </w:r>
    </w:p>
    <w:p>
      <w:pPr>
        <w:pStyle w:val="[Normal]"/>
        <w:spacing w:line="360" w:lineRule="auto"/>
        <w:ind w:firstLine="1134"/>
        <w:jc w:val="both"/>
        <w:rPr>
          <w:lang w:val="es-AR" w:eastAsia="es-AR" w:bidi="es-AR"/>
        </w:rPr>
      </w:pPr>
      <w:r>
        <w:rPr>
          <w:lang w:val="es-AR" w:eastAsia="es-AR" w:bidi="es-AR"/>
        </w:rPr>
        <w:t xml:space="preserve">Con lo que terminó el presente Acuerdo, dictándose la siguiente;</w:t>
      </w:r>
    </w:p>
    <w:p>
      <w:pPr>
        <w:pStyle w:val="[Normal]"/>
        <w:spacing w:line="360" w:lineRule="auto"/>
        <w:ind w:firstLine="1134"/>
        <w:jc w:val="both"/>
        <w:rPr>
          <w:b/>
          <w:u w:val="single"/>
          <w:lang w:val="es-AR" w:eastAsia="es-AR" w:bidi="es-AR"/>
        </w:rPr>
      </w:pPr>
      <w:r>
        <w:rPr>
          <w:b/>
          <w:lang w:val="es-AR" w:eastAsia="es-AR" w:bidi="es-AR"/>
        </w:rPr>
        <w:t xml:space="preserve">S E N T E N C I A</w:t>
      </w:r>
      <w:r>
        <w:rPr>
          <w:lang w:val="es-AR" w:eastAsia="es-AR" w:bidi="es-AR"/>
        </w:rPr>
        <w:t xml:space="preserve">:</w:t>
      </w:r>
    </w:p>
    <w:p>
      <w:pPr>
        <w:pStyle w:val="[Normal]"/>
        <w:spacing w:line="360" w:lineRule="auto"/>
        <w:ind w:firstLine="1134"/>
        <w:jc w:val="both"/>
        <w:rPr>
          <w:lang w:val="es-AR" w:eastAsia="es-AR" w:bidi="es-AR"/>
        </w:rPr>
      </w:pPr>
      <w:r>
        <w:rPr>
          <w:lang w:val="es-AR" w:eastAsia="es-AR" w:bidi="es-AR"/>
        </w:rPr>
        <w:t xml:space="preserve">Hacer lugar a los recursos de apelación deducidos, y en su mérito declarar la nulidad del auto regulatorio puesto en crisis, ordenándose se practique una nueva regulación de honorarios conforme a derecho.</w:t>
      </w:r>
    </w:p>
    <w:p>
      <w:pPr>
        <w:pStyle w:val="[Normal]"/>
        <w:spacing w:line="360" w:lineRule="auto"/>
        <w:ind w:firstLine="1134"/>
        <w:jc w:val="both"/>
        <w:rPr>
          <w:color w:val="000000"/>
          <w:lang w:val="es-AR" w:eastAsia="es-AR" w:bidi="es-AR"/>
        </w:rPr>
      </w:pPr>
      <w:r>
        <w:rPr>
          <w:lang w:val="es-AR" w:eastAsia="es-AR" w:bidi="es-AR"/>
        </w:rPr>
        <w:t xml:space="preserve">Regístrese. Notifíquese por Secretaría (Ac. 4013 SCBA) remitiéndose copia digital de la presente sentencia a los domicilios electrónicos de las respectivas partes. Devuélvase.</w:t>
      </w:r>
    </w:p>
    <w:p>
      <w:pPr>
        <w:pStyle w:val="[Normal]"/>
        <w:spacing w:line="480" w:lineRule="auto"/>
        <w:ind w:firstLine="1134"/>
        <w:jc w:val="both"/>
        <w:rPr>
          <w:color w:val="000000"/>
          <w:lang w:val="es-AR" w:eastAsia="es-AR" w:bidi="es-AR"/>
        </w:rPr>
      </w:pPr>
      <w:r>
        <w:rPr>
          <w:color w:val="000000"/>
          <w:lang w:val="es-AR" w:eastAsia="es-AR" w:bidi="es-AR"/>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REFERENCIAS: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26/09/2024 10:16:05 - DEGLEUE Roberto Manuel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26/09/2024 10:59:54 - SCARAFFIA Graciela Hilda - JUEZ</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Funcionario Firmante: 26/09/2024 11:14:32 - BIANCO Luis Maria - AUXILIAR LETRADO DE CÁMARA DE APELACIÓN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336" w:after="336"/>
        <w:rPr>
          <w:rFonts w:ascii="BarCode 128" w:hAnsi="BarCode 128" w:eastAsia="BarCode 128" w:cs="BarCode 128"/>
          <w:sz w:val="60"/>
          <w:lang w:val="es-AR" w:eastAsia="es-AR" w:bidi="es-AR"/>
        </w:rPr>
      </w:pPr>
      <w:r>
        <w:rPr>
          <w:rFonts w:ascii="BarCode 128" w:hAnsi="BarCode 128" w:eastAsia="BarCode 128" w:cs="BarCode 128"/>
          <w:sz w:val="60"/>
          <w:lang w:val="es-AR" w:eastAsia="es-AR" w:bidi="es-AR"/>
        </w:rPr>
        <w:t xml:space="preserve">‰7e")è&amp;:]2KŠ</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12" w:after="112"/>
        <w:rPr>
          <w:sz w:val="20"/>
          <w:lang w:val="es-AR" w:eastAsia="es-AR" w:bidi="es-AR"/>
        </w:rPr>
      </w:pPr>
      <w:r>
        <w:rPr>
          <w:sz w:val="20"/>
          <w:lang w:val="es-AR" w:eastAsia="es-AR" w:bidi="es-AR"/>
        </w:rPr>
        <w:t xml:space="preserve">236902090006266118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lang w:val="es-AR" w:eastAsia="es-AR" w:bidi="es-AR"/>
        </w:rPr>
      </w:pPr>
      <w:r>
        <w:rPr>
          <w:lang w:val="es-AR" w:eastAsia="es-AR" w:bidi="es-AR"/>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lang w:val="es-AR" w:eastAsia="es-AR" w:bidi="es-AR"/>
        </w:rPr>
        <w:t xml:space="preserve">CAMARA DE APELACION EN LO CIVIL Y COMERCIAL PERGAMINO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rStyle w:val="B"/>
          <w:u w:val="single"/>
          <w:lang w:val="es-AR" w:eastAsia="es-AR" w:bidi="es-AR"/>
        </w:rPr>
        <w:t xml:space="preserve">NO CONTIENE ARCHIVOS ADJUNTOS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lang w:val="es-AR" w:eastAsia="es-AR" w:bidi="es-AR"/>
        </w:rPr>
      </w:pPr>
      <w:r>
        <w:rPr>
          <w:lang w:val="es-AR" w:eastAsia="es-AR" w:bidi="es-AR"/>
        </w:rPr>
        <w:t xml:space="preserve">Registrado en REGISTRO DE SENTENCIAS el 26/09/2024 11:14:41 hs. bajo el número RS-148-2024 por PE\LBIANCO LUIS MARIA.</w:t>
      </w:r>
    </w:p>
    <w:p>
      <w:pPr>
        <w:pStyle w:val="[Normal]"/>
        <w:rPr>
          <w:lang w:val="es-AR" w:eastAsia="es-AR" w:bidi="es-AR"/>
        </w:rPr>
      </w:pPr>
    </w:p>
    <w:sectPr>
      <w:pgSz w:w="11906" w:h="16832"/>
      <w:pgMar w:top="2835" w:right="850" w:bottom="1134" w:left="2835"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BarCode 128">
    <w:charset w:val="00"/>
    <w:family w:val="auto"/>
    <w:pitch w:val="variable"/>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5.0.323.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character" w:styleId="B">
    <w:name w:val="B"/>
    <w:qFormat/>
    <w:rPr>
      <w:b/>
      <w:b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