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b/>
          <w:color w:val="000000"/>
          <w:lang w:val="es-AR" w:eastAsia="es-AR" w:bidi="es-AR"/>
        </w:rPr>
        <w:t xml:space="preserve">6048-26</w:t>
      </w:r>
      <w:r>
        <w:rPr>
          <w:lang w:val="es-AR" w:eastAsia="es-AR" w:bidi="es-AR"/>
        </w:rPr>
        <w:t xml:space="preserve"> caratulada </w:t>
      </w:r>
      <w:r>
        <w:rPr>
          <w:b/>
          <w:lang w:val="es-AR" w:eastAsia="es-AR" w:bidi="es-AR"/>
        </w:rPr>
        <w:t xml:space="preserve">"</w:t>
      </w:r>
      <w:r>
        <w:rPr>
          <w:b/>
          <w:color w:val="000000"/>
          <w:lang w:val="es-AR" w:eastAsia="es-AR" w:bidi="es-AR"/>
        </w:rPr>
        <w:t xml:space="preserve">DSAGROARGENTINA COLON SA  C/ MARTINEZ NESTOR J Y OTRO/A S/ DAÑOS Y PERJ.AUTOM. C/LES. O MUERTE (EXC.ESTADO)</w:t>
      </w:r>
      <w:r>
        <w:rPr>
          <w:b/>
          <w:lang w:val="es-AR" w:eastAsia="es-AR" w:bidi="es-AR"/>
        </w:rPr>
        <w:t xml:space="preserve">"</w:t>
      </w:r>
      <w:r>
        <w:rPr>
          <w:lang w:val="es-AR" w:eastAsia="es-AR" w:bidi="es-AR"/>
        </w:rPr>
        <w:t xml:space="preserve">, Expte. 89.252 del Juzgado Civil y Comercial N° 2, se practicó el sorteo de ley que determinó que la votación debía efectuarse en el siguiente orden: Roberto Degleue y Graciela Scaraffia,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el señor Juez Roberto Degleue dijo:</w:t>
      </w:r>
    </w:p>
    <w:p>
      <w:pPr>
        <w:pStyle w:val="[Normal]"/>
        <w:spacing w:line="360" w:lineRule="auto"/>
        <w:ind w:firstLine="1134"/>
        <w:jc w:val="both"/>
        <w:rPr>
          <w:lang w:val="es-AR" w:eastAsia="es-AR" w:bidi="es-AR"/>
        </w:rPr>
      </w:pPr>
      <w:r>
        <w:rPr>
          <w:lang w:val="es-AR" w:eastAsia="es-AR" w:bidi="es-AR"/>
        </w:rPr>
        <w:t xml:space="preserve">La señora Jueza de la anterior instancia hizo lugar a la demanda y, en consecuencia, condenó al demandado y a la citada en garantía a abonar al actor la suma que resulte de la liquidación que oportunamente se practique, limitada a los daños acreditados (rotura y desprendimiento del paragolpes delantero, roturas de la parrilla, deformación del capot, rotura del sistema de luces y faltante de insignia, excluyéndose los daños en el motor), más la suma de $300.000 en concepto de gastos, con más sus intereses. Impuso las costas a la parte demandada y a la citada en garantía y difirió la regulación de honorarios de  los  letrados intervinientes  y de los peritos.</w:t>
      </w:r>
    </w:p>
    <w:p>
      <w:pPr>
        <w:pStyle w:val="[Normal]"/>
        <w:spacing w:line="360" w:lineRule="auto"/>
        <w:ind w:firstLine="1134"/>
        <w:jc w:val="both"/>
        <w:rPr>
          <w:lang w:val="es-AR" w:eastAsia="es-AR" w:bidi="es-AR"/>
        </w:rPr>
      </w:pPr>
      <w:r>
        <w:rPr>
          <w:lang w:val="es-AR" w:eastAsia="es-AR" w:bidi="es-AR"/>
        </w:rPr>
        <w:t xml:space="preserve">Contra dicho pronunciamiento, la apoderada de la parte actora interpuso el 11-2-2026 recurso de aclaratoria, que fue desestimado. Subsidiariamente dedujo recurso de apelación, concedido libremente el 13-2-2026. A su vez, el 17-2-2026 la apoderada de la parte demandada y de la citada en garantía interpuso recurso de apelación contra la sentencia, el que fue concedido libremente y con efecto suspensivo el 19-2-2026, ordenándose la elevación de las actuaciones el 13-4-2026.</w:t>
      </w:r>
    </w:p>
    <w:p>
      <w:pPr>
        <w:pStyle w:val="[Normal]"/>
        <w:spacing w:line="360" w:lineRule="auto"/>
        <w:ind w:firstLine="1134"/>
        <w:jc w:val="both"/>
        <w:rPr>
          <w:lang w:val="es-AR" w:eastAsia="es-AR" w:bidi="es-AR"/>
        </w:rPr>
      </w:pPr>
      <w:r>
        <w:rPr>
          <w:lang w:val="es-AR" w:eastAsia="es-AR" w:bidi="es-AR"/>
        </w:rPr>
        <w:t xml:space="preserve">Recibidos los autos por este Tribunal el 14-4-2026, mediante providencia de fecha 16-4-2026 se ordenó a la parte actora a expresar agravios. Ante su incumplimiento, por resolución del 30-4-2026 se declaró desierto el recurso por ella interpuesto. En esa misma providencia se ordenó correr traslado para que expresara agravios la parte demandada, quien presentó su memorial el 11-5-2026. Conferido el pertinente traslado a la parte actora el 14-5-2026, éste fue contestado el 20-5-2026. Finalmente, el 26-5-2026 se dictó el llamamiento de autos para sentencia, providencia que se encuentra firme y deja la causa en estado de resolver.</w:t>
      </w:r>
    </w:p>
    <w:p>
      <w:pPr>
        <w:pStyle w:val="[Normal]"/>
        <w:spacing w:line="360" w:lineRule="auto"/>
        <w:ind w:firstLine="1134"/>
        <w:jc w:val="both"/>
        <w:rPr>
          <w:lang w:val="es-AR" w:eastAsia="es-AR" w:bidi="es-AR"/>
        </w:rPr>
      </w:pPr>
      <w:r>
        <w:rPr>
          <w:lang w:val="es-AR" w:eastAsia="es-AR" w:bidi="es-AR"/>
        </w:rPr>
        <w:t xml:space="preserve">En su expresión de agravios, la apelante cuestiona en primer lugar que la señora Jueza pese a reconocer que no existe causa penal y que el dictamen pericial mecánico concluye que carece de elementos técnicos objetivos para determinar la mecánica del accidente, el carácter embistente o embestido de los rodados y sus velocidades de circulación, se apartó de tales conclusiones y atribuyó responsabilidad exclusiva al conductor asegurado con fundamento únicamente en la prioridad de paso. Sostiene que dicha regla no constituye un "bill de indemnidad" y que la unidad asegurada recibió el impacto en su lateral trasero derecho y no en su frente, circunstancia que evidenciaría que ya había traspuesto la encrucijada, extremo que, afirma, no fue valorado por la sentenciante. Invoca asimismo los arts. 1729 y 1731 del CCYC en relación con el hecho del damnificado y plantea, subsidiariamente, la existencia de una concausa y la consecuente atribución de responsabilidad compartida.</w:t>
      </w:r>
    </w:p>
    <w:p>
      <w:pPr>
        <w:pStyle w:val="[Normal]"/>
        <w:spacing w:line="360" w:lineRule="auto"/>
        <w:ind w:firstLine="1134"/>
        <w:jc w:val="both"/>
        <w:rPr>
          <w:lang w:val="es-AR" w:eastAsia="es-AR" w:bidi="es-AR"/>
        </w:rPr>
      </w:pPr>
      <w:r>
        <w:rPr>
          <w:lang w:val="es-AR" w:eastAsia="es-AR" w:bidi="es-AR"/>
        </w:rPr>
        <w:t xml:space="preserve">Como segundo agravio, sostiene que la sentenciante suplió la inactividad probatoria de la parte actora y, pese a ello, hizo lugar al resarcimiento de los daños externos del vehículo sobre la base de dos presupuestos, uno sin fecha de emisión y otro confeccionado cuatro meses después del siniestro, que fueron expresamente desconocidos por su parte y carecen, a su entender, de prueba complementaria que los respalde. Cuestiona, asimismo, que se haya diferido la cuantificación de tales daños para la etapa de liquidación.</w:t>
      </w:r>
    </w:p>
    <w:p>
      <w:pPr>
        <w:pStyle w:val="[Normal]"/>
        <w:spacing w:line="360" w:lineRule="auto"/>
        <w:ind w:firstLine="1134"/>
        <w:jc w:val="both"/>
        <w:rPr>
          <w:lang w:val="es-AR" w:eastAsia="es-AR" w:bidi="es-AR"/>
        </w:rPr>
      </w:pPr>
      <w:r>
        <w:rPr>
          <w:lang w:val="es-AR" w:eastAsia="es-AR" w:bidi="es-AR"/>
        </w:rPr>
        <w:t xml:space="preserve">En tercer término, se agravia por la procedencia del rubro "gastos", reconocido por la suma de $300.000, al sostener que no existe comprobante alguno que respalde su otorgamiento, el que califica de infundado.</w:t>
      </w:r>
    </w:p>
    <w:p>
      <w:pPr>
        <w:pStyle w:val="[Normal]"/>
        <w:spacing w:line="360" w:lineRule="auto"/>
        <w:ind w:firstLine="1134"/>
        <w:jc w:val="both"/>
        <w:rPr>
          <w:lang w:val="es-AR" w:eastAsia="es-AR" w:bidi="es-AR"/>
        </w:rPr>
      </w:pPr>
      <w:r>
        <w:rPr>
          <w:lang w:val="es-AR" w:eastAsia="es-AR" w:bidi="es-AR"/>
        </w:rPr>
        <w:t xml:space="preserve">Asimismo, cuestiona que la sentencia haya extendido la condena a la citada en garantía sin precisar los límites de cobertura previstos por el art. 118 de la Ley 17.418, pese a que dicha cuestión fue oportunamente planteada al contestar la demanda.</w:t>
      </w:r>
    </w:p>
    <w:p>
      <w:pPr>
        <w:pStyle w:val="[Normal]"/>
        <w:spacing w:line="360" w:lineRule="auto"/>
        <w:ind w:firstLine="1134"/>
        <w:jc w:val="both"/>
        <w:rPr>
          <w:lang w:val="es-AR" w:eastAsia="es-AR" w:bidi="es-AR"/>
        </w:rPr>
      </w:pPr>
      <w:r>
        <w:rPr>
          <w:lang w:val="es-AR" w:eastAsia="es-AR" w:bidi="es-AR"/>
        </w:rPr>
        <w:t xml:space="preserve">Finalmente, se agravia por la imposición de costas y por el criterio adoptado para la actualización de los rubros indemnizatorios. En tal sentido, invoca un precedente de la CSJN en el que se sostuvo que una desproporcionada aplicación de intereses puede importar, en los hechos, una indebida actualización monetaria, por lo que solicita el rechazo del criterio adoptado o, subsidiariamente, la morigeración de los índices aplicados.</w:t>
      </w:r>
    </w:p>
    <w:p>
      <w:pPr>
        <w:pStyle w:val="[Normal]"/>
        <w:spacing w:line="360" w:lineRule="auto"/>
        <w:ind w:firstLine="1134"/>
        <w:jc w:val="both"/>
        <w:rPr>
          <w:lang w:val="es-AR" w:eastAsia="es-AR" w:bidi="es-AR"/>
        </w:rPr>
      </w:pPr>
      <w:r>
        <w:rPr>
          <w:lang w:val="es-AR" w:eastAsia="es-AR" w:bidi="es-AR"/>
        </w:rPr>
        <w:t xml:space="preserve">Con base en tales argumentos, solicita la revocación de la sentencia en los términos de sus agravios, con reserva del caso federal.</w:t>
      </w:r>
    </w:p>
    <w:p>
      <w:pPr>
        <w:pStyle w:val="[Normal]"/>
        <w:spacing w:line="360" w:lineRule="auto"/>
        <w:ind w:firstLine="1134"/>
        <w:jc w:val="both"/>
        <w:rPr>
          <w:lang w:val="es-AR" w:eastAsia="es-AR" w:bidi="es-AR"/>
        </w:rPr>
      </w:pPr>
      <w:r>
        <w:rPr>
          <w:lang w:val="es-AR" w:eastAsia="es-AR" w:bidi="es-AR"/>
        </w:rPr>
        <w:t xml:space="preserve">Corrido el pertinente traslado, la parte actora lo contestó solicitando el rechazo de los agravios y la confirmación de la sentencia apelada, con costas.</w:t>
      </w:r>
    </w:p>
    <w:p>
      <w:pPr>
        <w:pStyle w:val="[Normal]"/>
        <w:spacing w:line="360" w:lineRule="auto"/>
        <w:ind w:firstLine="1134"/>
        <w:jc w:val="both"/>
        <w:rPr>
          <w:lang w:val="es-AR" w:eastAsia="es-AR" w:bidi="es-AR"/>
        </w:rPr>
      </w:pPr>
      <w:r>
        <w:rPr>
          <w:lang w:val="es-AR" w:eastAsia="es-AR" w:bidi="es-AR"/>
        </w:rPr>
        <w:t xml:space="preserve">Entrando a resolver, y tal como lo ha señalado la sentenciante primera "...</w:t>
      </w:r>
      <w:r>
        <w:rPr>
          <w:i/>
          <w:lang w:val="es-AR" w:eastAsia="es-AR" w:bidi="es-AR"/>
        </w:rPr>
        <w:t xml:space="preserve">dada la forma en que quedó trabada la litis, el reconocimiento de las circunstancias de tiempo y lugar, y los respectivos relatos de los hechos formulados por las partes en sus demandas y contestaciones, tendré por cierto que el día 03  de mayo de 2023, siendo aproximadamente las 10 horas, el actor conducía el rodado marca Volskwagen modelo Amarok, por calle 46, desde calle 15 hacia calle 16 de la ciudad de Colón, cuando al llegar a la intersección de calles 46 y 16, colisiona con un vehículo marca Ford, Modelo: Ford F-100 Diesel Lujo, conducido por el demandado</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En efecto tal apreciación no es controvertida por la apelante, ya que la misma centra su queja solo en determinar si la prioridad de paso estuvo excepcionada en la ocasión por ser, a su entender el vehículo de la actora el embistente, haber arribado el auto asegurado con anterioridad al cruce y la falta de elementos de prueba para determinar la responsabilidad atribuida.</w:t>
      </w:r>
    </w:p>
    <w:p>
      <w:pPr>
        <w:pStyle w:val="[Normal]"/>
        <w:spacing w:line="360" w:lineRule="auto"/>
        <w:ind w:firstLine="1134"/>
        <w:jc w:val="both"/>
        <w:rPr>
          <w:lang w:val="es-AR" w:eastAsia="es-AR" w:bidi="es-AR"/>
        </w:rPr>
      </w:pPr>
      <w:r>
        <w:rPr>
          <w:lang w:val="es-AR" w:eastAsia="es-AR" w:bidi="es-AR"/>
        </w:rPr>
        <w:t xml:space="preserve">No lo veo de la misma manera, en tanto corresponde señalar que en la especie se trata de aplicar  la  teoría  del  riesgo creado, a partir de la concurrencia de dos vehículos en movimiento con riesgos recíprocos, de tal modo que si bien se presume la culpa de cada uno respecto de los daños del otro, conjuntamente puede analizarse si el hecho de la victima fue la causa adecuada del accidente, y en autos esto es lo que ha acontecido conforme atinada evaluación de la jueza de primera instancia .</w:t>
      </w:r>
    </w:p>
    <w:p>
      <w:pPr>
        <w:pStyle w:val="[Normal]"/>
        <w:spacing w:line="360" w:lineRule="auto"/>
        <w:ind w:firstLine="1134"/>
        <w:jc w:val="both"/>
        <w:rPr>
          <w:lang w:val="es-AR" w:eastAsia="es-AR" w:bidi="es-AR"/>
        </w:rPr>
      </w:pPr>
      <w:r>
        <w:rPr>
          <w:lang w:val="es-AR" w:eastAsia="es-AR" w:bidi="es-AR"/>
        </w:rPr>
        <w:t xml:space="preserve">En cuanto a la prueba valorada debo aclarar que el perito ingeniero mecánico, cuyo dictamen no fue impugnado por ninguna de las partes, informó carecer de elementos técnicos objetivos para determinar con rigor científico la mecánica del accidente, el carácter de embistente o embestido de los rodados y las velocidades de circulación. Sin embargo, dicha conclusión, circunscripta exclusivamente al campo de la reconstrucción técnico-mecánica, no impide ni sustituye la valoración judicial de los restantes elementos de prueba incorporados a la causa, conforme las reglas de la sana crítica (art. 384 del CPCC). </w:t>
      </w:r>
    </w:p>
    <w:p>
      <w:pPr>
        <w:pStyle w:val="[Normal]"/>
        <w:spacing w:line="360" w:lineRule="auto"/>
        <w:ind w:firstLine="1134"/>
        <w:jc w:val="both"/>
        <w:rPr>
          <w:lang w:val="es-AR" w:eastAsia="es-AR" w:bidi="es-AR"/>
        </w:rPr>
      </w:pPr>
      <w:r>
        <w:rPr>
          <w:lang w:val="es-AR" w:eastAsia="es-AR" w:bidi="es-AR"/>
        </w:rPr>
        <w:t xml:space="preserve">La pericia mecánica constituye un medio de prueba más, sujeto a la apreciación del juzgador, cuyas conclusiones,  que en este caso se limitan a declarar la insuficiencia de elementos técnicos, no excluyen que la responsabilidad civil sea determinada mediante el examen conjunto y armónico del restante material probatorio.</w:t>
      </w:r>
    </w:p>
    <w:p>
      <w:pPr>
        <w:pStyle w:val="[Normal]"/>
        <w:spacing w:line="360" w:lineRule="auto"/>
        <w:ind w:firstLine="1134"/>
        <w:jc w:val="both"/>
        <w:rPr>
          <w:lang w:val="es-AR" w:eastAsia="es-AR" w:bidi="es-AR"/>
        </w:rPr>
      </w:pPr>
      <w:r>
        <w:rPr>
          <w:lang w:val="es-AR" w:eastAsia="es-AR" w:bidi="es-AR"/>
        </w:rPr>
        <w:t xml:space="preserve">En tal sentido, la sentenciante de grado no se apartó del dictamen pericial, sino que lo integró con otros elementos objetivos derivados de los propios términos en que quedó trabada la litis, esto es el sentido de circulación de ambos rodados, la ubicación de los puntos de impacto, la prioridad de paso que correspondía al vehículo de la actora por circular por la derecha, y el incumplimiento por parte del demandado del deber de circular con cuidado y prevención (art. 39 inc. d) Ley de Tránsito  Nacional Nro. 24.449, por adhesión art. 1 Ley 13.927, "Nuevo Código de Tránsito de la Pcia. de Buenos Aires), encontrándose éste obligado, además, por arribar al cruce desde la izquierda, a ceder el paso (art. 41 del citado cuerpo legal). Dicha labor de integración probatoria no traduce arbitrariedad alguna, sino el ejercicio regular de la función jurisdiccional de valorar la prueba en su conjunto.</w:t>
      </w:r>
    </w:p>
    <w:p>
      <w:pPr>
        <w:pStyle w:val="[Normal]"/>
        <w:spacing w:line="360" w:lineRule="auto"/>
        <w:ind w:firstLine="1134"/>
        <w:jc w:val="both"/>
        <w:rPr>
          <w:lang w:val="es-AR" w:eastAsia="es-AR" w:bidi="es-AR"/>
        </w:rPr>
      </w:pPr>
      <w:r>
        <w:rPr>
          <w:lang w:val="es-AR" w:eastAsia="es-AR" w:bidi="es-AR"/>
        </w:rPr>
        <w:t xml:space="preserve">Tampoco puede otorgarse a la ausencia de causa penal la relevancia que pretende asignarle la apelante. Es sabido que la responsabilidad civil resulta autónoma respecto de la penal, pudiendo acreditarse a través de los elementos reunidos en el proceso civil, sin que la inexistencia de proceso penal previo obste a su determinación (arts. 1774 y ccs. del CCyC).</w:t>
      </w:r>
    </w:p>
    <w:p>
      <w:pPr>
        <w:pStyle w:val="[Normal]"/>
        <w:spacing w:line="360" w:lineRule="auto"/>
        <w:ind w:firstLine="1134"/>
        <w:jc w:val="both"/>
        <w:rPr>
          <w:lang w:val="es-AR" w:eastAsia="es-AR" w:bidi="es-AR"/>
        </w:rPr>
      </w:pPr>
      <w:r>
        <w:rPr>
          <w:lang w:val="es-AR" w:eastAsia="es-AR" w:bidi="es-AR"/>
        </w:rPr>
        <w:t xml:space="preserve">No corresponde atender las restantes razones alegadas por la recurrente en  su expresión de agravios tendiente a lograr la revocación del fallo, ya que sostiene su critica en la premisa de que la prioridad de paso había cedido en su favor argumentando que el vehículo asegurado fue embestido por la camioneta de la empresa actora " en su lateral trasero derecho" y por ello entiende que la prioridad de paso se había perdido por haber arribado el primero con anterioridad y  se había "ganado el cruce" (según presentación electrónica del 11/05/2026).</w:t>
      </w:r>
    </w:p>
    <w:p>
      <w:pPr>
        <w:pStyle w:val="[Normal]"/>
        <w:spacing w:line="360" w:lineRule="auto"/>
        <w:ind w:firstLine="1134"/>
        <w:jc w:val="both"/>
        <w:rPr>
          <w:lang w:val="es-AR" w:eastAsia="es-AR" w:bidi="es-AR"/>
        </w:rPr>
      </w:pPr>
      <w:r>
        <w:rPr>
          <w:lang w:val="es-AR" w:eastAsia="es-AR" w:bidi="es-AR"/>
        </w:rPr>
        <w:t xml:space="preserve">Ello en tanto que, como ya lo señale no está en discusión que en la especie se trata de un accidente de locomotores, por lo que ha de regir la doctrina de la responsabilidad por el riesgo creado, regulado por el art. 1113 del Cód. Civil, segundo apartado, por lo que la atribución de responsabilidad es objetiva. Los automotores en movimiento son considerados productores de riesgo, resultando de aplicación la teoría del riesgo creado, en virtud de la misma, cada dueño o guardián debe resarcir los daños causados a otro, salvo que acredite la concurrencia de las excepciones legalmente previstas que permitan eximirlo total o parcialmente, esto es que la culpa de la víctima o de un tercero por el que no deba responder, haya interrumpido total o parcialmente el nexo de causalidad entre el hecho de la cosa riesgosa y el daño (art. 1113 in fine del Cód. Civil).  Se trata de aplicar la teoría del riesgo creado, a partir de la concurrencia de dos vehículos en movimiento con riesgos recíprocos, de tal modo que si bien se presume la culpa de cada uno respecto de los daños del otro, conjuntamente puede analizarse si el hecho de la víctima fue la causa adecuada del accidente y si esto fue acreditado por la contraria, adelantando desde ya la respuesta afirmativa.-</w:t>
      </w:r>
    </w:p>
    <w:p>
      <w:pPr>
        <w:pStyle w:val="[Normal]"/>
        <w:spacing w:line="360" w:lineRule="auto"/>
        <w:ind w:firstLine="1134"/>
        <w:jc w:val="both"/>
        <w:rPr>
          <w:lang w:val="es-AR" w:eastAsia="es-AR" w:bidi="es-AR"/>
        </w:rPr>
      </w:pPr>
      <w:r>
        <w:rPr>
          <w:lang w:val="es-AR" w:eastAsia="es-AR" w:bidi="es-AR"/>
        </w:rPr>
        <w:t xml:space="preserve">Este esquema conceptual se replica en el nuevo Código Civil y Comercial Unificado donde expresamente se alude a la responsabilidad objetiva (art. 1723 CCyC), relación causal, (art. 1726 CCyC), prueba de los factores (art. 1734 /1736 del CCyC), y los demás conceptos normativos desplegados en el Título V, Sección Tercera, todos ellos aquí aplicable teniendo en cuenta la fecha de producción del hecho.-</w:t>
      </w:r>
    </w:p>
    <w:p>
      <w:pPr>
        <w:pStyle w:val="[Normal]"/>
        <w:spacing w:line="360" w:lineRule="auto"/>
        <w:ind w:firstLine="1134"/>
        <w:jc w:val="both"/>
        <w:rPr>
          <w:lang w:val="es-AR" w:eastAsia="es-AR" w:bidi="es-AR"/>
        </w:rPr>
      </w:pPr>
      <w:r>
        <w:rPr>
          <w:lang w:val="es-AR" w:eastAsia="es-AR" w:bidi="es-AR"/>
        </w:rPr>
        <w:t xml:space="preserve">El ya mencionado art. 41 de la Ley 24.449, aplicable en la Provincia de Buenos Aires por adhesión mediante Ley 13.927, establece que todo conductor debe ceder el paso en las encrucijadas al que cruza desde su derecha, calificando esa prioridad de "absoluta" salvo las excepciones taxativamente enumeradas. </w:t>
      </w:r>
    </w:p>
    <w:p>
      <w:pPr>
        <w:pStyle w:val="[Normal]"/>
        <w:spacing w:line="360" w:lineRule="auto"/>
        <w:ind w:firstLine="1134"/>
        <w:jc w:val="both"/>
        <w:rPr>
          <w:lang w:val="es-AR" w:eastAsia="es-AR" w:bidi="es-AR"/>
        </w:rPr>
      </w:pPr>
      <w:r>
        <w:rPr>
          <w:lang w:val="es-AR" w:eastAsia="es-AR" w:bidi="es-AR"/>
        </w:rPr>
        <w:t xml:space="preserve">Es doctrina legal de la Suprema Corte de  Justicia  de  la  Provincia  de Buenos Aires que tanto "..</w:t>
      </w:r>
      <w:r>
        <w:rPr>
          <w:i/>
          <w:lang w:val="es-AR" w:eastAsia="es-AR" w:bidi="es-AR"/>
        </w:rPr>
        <w:t xml:space="preserve">.el art. 71 de la ley 5800 como el 57 de la ley 11.430, imponen al conductor que llegue a una bocacalle la obligación de reducir sensiblemente la velocidad y la de ceder el paso al vehículo que se presente a su derecha. Y ello es así, sin distinguir quién fue el que llegó primero a la bocacalle, siendo absoluta esa prioridad establecida legalmente, lo que no está condicionado al arribo simultáneo a la encrucijada desde que ello impondría -en el hecho- la colocación de sensores para constatarlo</w:t>
      </w:r>
      <w:r>
        <w:rPr>
          <w:lang w:val="es-AR" w:eastAsia="es-AR" w:bidi="es-AR"/>
        </w:rPr>
        <w:t xml:space="preserve">" (SCBA LP C 123002 S 18/02/2021 - Carátula: Guardia, Walter Martín y otros c/ Pérez, Guillermo David y otros s/ Daños y perjuicios" juba Sumario: B28790).</w:t>
      </w:r>
    </w:p>
    <w:p>
      <w:pPr>
        <w:pStyle w:val="[Normal]"/>
        <w:spacing w:line="360" w:lineRule="auto"/>
        <w:ind w:firstLine="1134"/>
        <w:jc w:val="both"/>
        <w:rPr>
          <w:lang w:val="es-AR" w:eastAsia="es-AR" w:bidi="es-AR"/>
        </w:rPr>
      </w:pPr>
      <w:r>
        <w:rPr>
          <w:lang w:val="es-AR" w:eastAsia="es-AR" w:bidi="es-AR"/>
        </w:rPr>
        <w:t xml:space="preserve">La actora venía circulando por su derecha y al respecto debo señalar que la preferencia de paso del conductor que arriba por la derecha de la encrucijada, si bien no funciona en el vacío, constituye una regla fundamental y también de carácter objetivo, en orden a analizar y decidir la responsabilidad que corresponde en una colisión entre automotores, conforme la normativa señalada.  "</w:t>
      </w:r>
      <w:r>
        <w:rPr>
          <w:i/>
          <w:lang w:val="es-AR" w:eastAsia="es-AR" w:bidi="es-AR"/>
        </w:rPr>
        <w:t xml:space="preserve">Es que se trata, no solo de un principio de seguridad en el tránsito, sino de una regla de convivencia social establecida por el legislador.  Además, las normas de tránsito no son puras declaraciones académicas o requisitos para aprobar un examen habilitante, sino que están dadas para ser cumplidas, por lo que corresponde considerarlas en el plexo de circunstancias atinentes, en oportunidad de decidir la responsabilidad</w:t>
      </w:r>
      <w:r>
        <w:rPr>
          <w:lang w:val="es-AR" w:eastAsia="es-AR" w:bidi="es-AR"/>
        </w:rPr>
        <w:t xml:space="preserve">" (CC0201 LP 110418 RSD-58-9 S 21/04/2009, Carátula: Olivera, Gustavo Omar c/Transporte La Unión Línea 202 y otros s/Daños y perjuicios; Sumario Juba: B251710).</w:t>
      </w:r>
    </w:p>
    <w:p>
      <w:pPr>
        <w:pStyle w:val="[Normal]"/>
        <w:spacing w:line="360" w:lineRule="auto"/>
        <w:ind w:firstLine="1134"/>
        <w:jc w:val="both"/>
        <w:rPr>
          <w:lang w:val="es-AR" w:eastAsia="es-AR" w:bidi="es-AR"/>
        </w:rPr>
      </w:pPr>
      <w:r>
        <w:rPr>
          <w:lang w:val="es-AR" w:eastAsia="es-AR" w:bidi="es-AR"/>
        </w:rPr>
        <w:t xml:space="preserve">De tal manera que  "Q</w:t>
      </w:r>
      <w:r>
        <w:rPr>
          <w:i/>
          <w:lang w:val="es-AR" w:eastAsia="es-AR" w:bidi="es-AR"/>
        </w:rPr>
        <w:t xml:space="preserve">uien pretende soslayar la regla que obliga a ceder el paso del vehículo que se presenta por la derecha, debe aportar concluyentes pruebas en apoyo de su tesis, pues se trata de nada menos que de invalidar la aplicación de una norma positiva.  Y esto es así, porque el conductor que tiene preferencia de paso puede creer, con justa razón que quien guía el otro automóvil, obligado a conocer las disposiciones vigentes se lo cedería (art. 20 Cód. Civil), por lo que continúa su marcha normal y al ocurrir la transgresión se ve sorprendido por esa irregular conducta, lo cual le impide contar con el tiempo necesario para maniobrar y evitar el choque</w:t>
      </w:r>
      <w:r>
        <w:rPr>
          <w:lang w:val="es-AR" w:eastAsia="es-AR" w:bidi="es-AR"/>
        </w:rPr>
        <w:t xml:space="preserve">" (CC0203 LP B 70514 RSD-6-91 S 12/02/1991 -Carátula: Scalippa, Rodolfo Esteban c/Cichitti, Vicente Oscar y/o responsable del vehículo s/Daños y Perjuicios; Sumario Juba: B350643).</w:t>
      </w:r>
    </w:p>
    <w:p>
      <w:pPr>
        <w:pStyle w:val="[Normal]"/>
        <w:spacing w:line="360" w:lineRule="auto"/>
        <w:ind w:firstLine="1134"/>
        <w:jc w:val="both"/>
        <w:rPr>
          <w:lang w:val="es-AR" w:eastAsia="es-AR" w:bidi="es-AR"/>
        </w:rPr>
      </w:pPr>
      <w:r>
        <w:rPr>
          <w:lang w:val="es-AR" w:eastAsia="es-AR" w:bidi="es-AR"/>
        </w:rPr>
        <w:t xml:space="preserve">En consecuencia, el punto central  no es si el demandado tenía la prioridad de paso (que la tenía), sino si el accidente se produjo en circunstancias tales que esa prioridad conserva eficacia eximitoria plena, o si por el contrario la conducta del propio demandado contribuyó causalmente al daño, que en definitiva es lo que pretende el quejoso en el punto central de los agravios, circunstancia que no ha configurado como bien resolviera en la anterior instancia</w:t>
      </w:r>
    </w:p>
    <w:p>
      <w:pPr>
        <w:pStyle w:val="[Normal]"/>
        <w:spacing w:line="360" w:lineRule="auto"/>
        <w:ind w:firstLine="1134"/>
        <w:jc w:val="both"/>
        <w:rPr>
          <w:lang w:val="es-AR" w:eastAsia="es-AR" w:bidi="es-AR"/>
        </w:rPr>
      </w:pPr>
      <w:r>
        <w:rPr>
          <w:lang w:val="es-AR" w:eastAsia="es-AR" w:bidi="es-AR"/>
        </w:rPr>
        <w:t xml:space="preserve">En lo que respecta a la absolución de posiciones del demandado, invocada por la apelante en sustento de su versión, cabe recordar que dicha prueba, al provenir de la propia parte interesada en el resultado del pleito, debe ser valorada con suma prudencia, y en modo alguno resulta suficiente, por sí sola, para tener por acreditada una mecánica del hecho que ni siquiera el experto designado  pudo corroborar.</w:t>
      </w:r>
    </w:p>
    <w:p>
      <w:pPr>
        <w:pStyle w:val="[Normal]"/>
        <w:spacing w:line="360" w:lineRule="auto"/>
        <w:ind w:firstLine="1134"/>
        <w:jc w:val="both"/>
        <w:rPr>
          <w:lang w:val="es-AR" w:eastAsia="es-AR" w:bidi="es-AR"/>
        </w:rPr>
      </w:pPr>
      <w:r>
        <w:rPr>
          <w:lang w:val="es-AR" w:eastAsia="es-AR" w:bidi="es-AR"/>
        </w:rPr>
        <w:t xml:space="preserve">Igualmente, la invocación del art. 1729 del Código Civil y Comercial (hecho del damnificado) tampoco puede prosperar, en tanto la recurrente no ha demostrado, con el grado de certeza que exige la ruptura del nexo causal, que el conductor del vehículo actor hubiera incurrido en una conducta que contribuyera a la producción del daño; la mera alegación de que aquél "no se cerciorara de la circulación de los vehículos" constituye una conjetura desprovista de todo respaldo probatorio, insuficiente para fundar la eximente parcial o total de responsabilidad pretendida.</w:t>
      </w:r>
    </w:p>
    <w:p>
      <w:pPr>
        <w:pStyle w:val="[Normal]"/>
        <w:spacing w:line="360" w:lineRule="auto"/>
        <w:ind w:firstLine="1134"/>
        <w:jc w:val="both"/>
        <w:rPr>
          <w:lang w:val="es-AR" w:eastAsia="es-AR" w:bidi="es-AR"/>
        </w:rPr>
      </w:pPr>
      <w:r>
        <w:rPr>
          <w:lang w:val="es-AR" w:eastAsia="es-AR" w:bidi="es-AR"/>
        </w:rPr>
        <w:t xml:space="preserve">Pasando a la queja sobre la admisión del rubro "daño material", cabe destacar, en primer lugar, que la sentencia de grado fue particularmente restrictiva en la admisión del rubro, por cuanto descartó expresamente los daños del motor, cuya verificación no pudo concretarse, y limitó la procedencia del resarcimiento a los daños efectivamente constatados por el perito mecánico designado en autos (cuyo dictamen, reitero, no fue cuestionado por las partes), esto es: rotura y desprendimiento del paragolpes delantero, roturas de parrilla, deformación de capot, rotura del sistema de luces y faltante de insignia.</w:t>
      </w:r>
    </w:p>
    <w:p>
      <w:pPr>
        <w:pStyle w:val="[Normal]"/>
        <w:spacing w:line="360" w:lineRule="auto"/>
        <w:ind w:firstLine="1134"/>
        <w:jc w:val="both"/>
        <w:rPr>
          <w:lang w:val="es-AR" w:eastAsia="es-AR" w:bidi="es-AR"/>
        </w:rPr>
      </w:pPr>
      <w:r>
        <w:rPr>
          <w:lang w:val="es-AR" w:eastAsia="es-AR" w:bidi="es-AR"/>
        </w:rPr>
        <w:t xml:space="preserve">Resulta, así, que la existencia del daño se encuentra acreditada mediante prueba pericial no impugnada, lo que distingue claramente la cuestión de la relativa a la determinación de su cuantía, sobre la cual asiste razón a la apelante en cuanto a la falta de respaldo documental idóneo de los presupuestos incorporados.</w:t>
      </w:r>
    </w:p>
    <w:p>
      <w:pPr>
        <w:pStyle w:val="[Normal]"/>
        <w:spacing w:line="360" w:lineRule="auto"/>
        <w:ind w:firstLine="1134"/>
        <w:jc w:val="both"/>
        <w:rPr>
          <w:lang w:val="es-AR" w:eastAsia="es-AR" w:bidi="es-AR"/>
        </w:rPr>
      </w:pPr>
      <w:r>
        <w:rPr>
          <w:lang w:val="es-AR" w:eastAsia="es-AR" w:bidi="es-AR"/>
        </w:rPr>
        <w:t xml:space="preserve">Sin embargo, tal circunstancia no conduce al rechazo total del rubro, sino a la aplicación de la solución prevista por el art. 165, último párrafo, del CPCC, que habilita al juzgador a diferir la determinación del monto resarcitorio para la etapa de liquidación, una vez acreditada la existencia del daño y ante la insuficiencia de pautas concretas para cuantificarlo de manera inmediata. Tal fue, precisamente, el criterio adoptado por la sentenciante de la anterior instancia, quien dispuso que la cuantificación del daño probado se efectúe en la etapa de liquidación, evitando así fijar un monto sin sustento documental fehaciente, lo que lejos de constituir arbitrariedad, traduce una solución prudente y ajustada a derecho.</w:t>
      </w:r>
    </w:p>
    <w:p>
      <w:pPr>
        <w:pStyle w:val="[Normal]"/>
        <w:spacing w:line="360" w:lineRule="auto"/>
        <w:ind w:firstLine="1134"/>
        <w:jc w:val="both"/>
        <w:rPr>
          <w:lang w:val="es-AR" w:eastAsia="es-AR" w:bidi="es-AR"/>
        </w:rPr>
      </w:pPr>
      <w:r>
        <w:rPr>
          <w:lang w:val="es-AR" w:eastAsia="es-AR" w:bidi="es-AR"/>
        </w:rPr>
        <w:t xml:space="preserve">La crítica de la apelante, en consecuencia, confunde dos planos que deben mantenerse diferenciados, la acreditación de la existencia del daño -que surge incontrovertida de la pericia mecánica no objetada- y la determinación de su cuantía,  diferida correctamente, a la etapa de ejecución.</w:t>
      </w:r>
    </w:p>
    <w:p>
      <w:pPr>
        <w:pStyle w:val="[Normal]"/>
        <w:spacing w:line="360" w:lineRule="auto"/>
        <w:ind w:firstLine="1134"/>
        <w:jc w:val="both"/>
        <w:rPr>
          <w:lang w:val="es-AR" w:eastAsia="es-AR" w:bidi="es-AR"/>
        </w:rPr>
      </w:pPr>
      <w:r>
        <w:rPr>
          <w:lang w:val="es-AR" w:eastAsia="es-AR" w:bidi="es-AR"/>
        </w:rPr>
        <w:t xml:space="preserve">La queja sobre el rubro "gastos" tampoco tendrá recepción, en tanto cabe recordar  que los gastos vinculados de manera directa al hecho dañoso (tales como los derivados de gestiones extrajudiciales, comunicaciones fehacientes, diligencias notariales y trámites propios de la mediación previa obligatoria) ,  no requieren, por su propia naturaleza, prueba documental estricta, bastando que resulten razonables y verosímiles conforme el curso ordinario de las cosas y las circunstancias del caso, pudiendo el juzgador fijar prudencialmente su cuantía (art. 165 C.P.C. y C.). </w:t>
      </w:r>
    </w:p>
    <w:p>
      <w:pPr>
        <w:pStyle w:val="[Normal]"/>
        <w:spacing w:line="360" w:lineRule="auto"/>
        <w:ind w:firstLine="1134"/>
        <w:jc w:val="both"/>
        <w:rPr>
          <w:lang w:val="es-AR" w:eastAsia="es-AR" w:bidi="es-AR"/>
        </w:rPr>
      </w:pPr>
      <w:r>
        <w:rPr>
          <w:lang w:val="es-AR" w:eastAsia="es-AR" w:bidi="es-AR"/>
        </w:rPr>
        <w:t xml:space="preserve">En el caso, la suma reconocida de $300.000 resulta proporcionada a la naturaleza de las gestiones llevadas a cabo, sin que la apelante haya demostrado, más allá de su genérica discrepancia, que tal monto resulte desproporcionado o excesivo en relación a las diligencias efectivamente realizadas. </w:t>
      </w:r>
    </w:p>
    <w:p>
      <w:pPr>
        <w:pStyle w:val="[Normal]"/>
        <w:spacing w:line="360" w:lineRule="auto"/>
        <w:ind w:firstLine="1134"/>
        <w:jc w:val="both"/>
        <w:rPr>
          <w:lang w:val="es-AR" w:eastAsia="es-AR" w:bidi="es-AR"/>
        </w:rPr>
      </w:pPr>
      <w:r>
        <w:rPr>
          <w:lang w:val="es-AR" w:eastAsia="es-AR" w:bidi="es-AR"/>
        </w:rPr>
        <w:t xml:space="preserve">La apoderada de la aseguradora se duele de que la condena a su parte, se hizo "...sin hacer mención siquiera a los límites de cobertura mencionados en el conteste".</w:t>
      </w:r>
    </w:p>
    <w:p>
      <w:pPr>
        <w:pStyle w:val="[Normal]"/>
        <w:spacing w:line="360" w:lineRule="auto"/>
        <w:ind w:firstLine="1134"/>
        <w:jc w:val="both"/>
        <w:rPr>
          <w:lang w:val="es-AR" w:eastAsia="es-AR" w:bidi="es-AR"/>
        </w:rPr>
      </w:pPr>
      <w:r>
        <w:rPr>
          <w:lang w:val="es-AR" w:eastAsia="es-AR" w:bidi="es-AR"/>
        </w:rPr>
        <w:t xml:space="preserve">Y, sobre tal particularidad contractual debo destacar que en la sentencia se ha hecho alusión a ello en sus considerandos, así la jueza concretamente, dijo que "..</w:t>
      </w:r>
      <w:r>
        <w:rPr>
          <w:i/>
          <w:lang w:val="es-AR" w:eastAsia="es-AR" w:bidi="es-AR"/>
        </w:rPr>
        <w:t xml:space="preserve">.habiendo reconocido la citada en garantía que la camioneta con la que se causara el daño se encontraba asegurada en esa compañía, resulta responsable en forma concurrente de la indemnización que corresponda abonar a su asegurado a raíz del evento dañoso motivo de autos. (art. 118 ley 17418)</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Es decir que, sobre el alcance de la sentencia, en relación a la citada en garantía, ha quedado claro que lo es  en los términos pactados en el contrato, como bien lo señalara la resolución cuestionada, por lo que es evidente que la jueza ha tenido en cuenta tales condiciones contractuales, razón por la cual se la llamara a este juicio.  </w:t>
      </w:r>
    </w:p>
    <w:p>
      <w:pPr>
        <w:pStyle w:val="[Normal]"/>
        <w:spacing w:line="360" w:lineRule="auto"/>
        <w:ind w:firstLine="1134"/>
        <w:jc w:val="both"/>
        <w:rPr>
          <w:lang w:val="es-AR" w:eastAsia="es-AR" w:bidi="es-AR"/>
        </w:rPr>
      </w:pPr>
      <w:r>
        <w:rPr>
          <w:lang w:val="es-AR" w:eastAsia="es-AR" w:bidi="es-AR"/>
        </w:rPr>
        <w:t xml:space="preserve">No obstante ello y, a los fines de dejar aclarada la cuestión, he de señalar lo que ya se ha dicho desde esta Alzada - en otra composición, pero cuya decisión comparto-, en causa Nro. 733, caratulada: "Hernandez, Norma Alicia c/ Luciano, Carlos Daniel y otros s/ daños y perj.autom.c/les.o muerte" del 9 de Febrero de 2011, que "la aseguradora debe responder en la medida del seguro contratado (cfr. art. 118 ley 17418) es decir en base a la franquicia convenida en la póliza y en las condiciones pactadas, participación a prorrata en los intereses y las costas del juicio".</w:t>
      </w:r>
    </w:p>
    <w:p>
      <w:pPr>
        <w:pStyle w:val="[Normal]"/>
        <w:spacing w:line="360" w:lineRule="auto"/>
        <w:ind w:firstLine="1134"/>
        <w:jc w:val="both"/>
        <w:rPr>
          <w:lang w:val="es-AR" w:eastAsia="es-AR" w:bidi="es-AR"/>
        </w:rPr>
      </w:pPr>
      <w:r>
        <w:rPr>
          <w:lang w:val="es-AR" w:eastAsia="es-AR" w:bidi="es-AR"/>
        </w:rPr>
        <w:t xml:space="preserve">En cuanto a los intereses, cabe señalar que la sentenciante  no dispuso una indexación de los montos de condena, sino que, ponderando la doctrina y jurisprudencia vigente en torno a las deudas de valor, determinó la cuantía de los rubros resarcitorios a valores actuales a la fecha del pronunciamiento, disponiendo a partir de allí la aplicación de una tasa de interés pura del 6% anual y, posteriormente, de la tasa pasiva más alta del Banco de la Provincia de Buenos Aires. </w:t>
      </w:r>
    </w:p>
    <w:p>
      <w:pPr>
        <w:pStyle w:val="[Normal]"/>
        <w:spacing w:line="360" w:lineRule="auto"/>
        <w:ind w:firstLine="1134"/>
        <w:jc w:val="both"/>
        <w:rPr>
          <w:lang w:val="es-AR" w:eastAsia="es-AR" w:bidi="es-AR"/>
        </w:rPr>
      </w:pPr>
      <w:r>
        <w:rPr>
          <w:lang w:val="es-AR" w:eastAsia="es-AR" w:bidi="es-AR"/>
        </w:rPr>
        <w:t xml:space="preserve">Dicho temperamento se ajusta a los lineamientos elaborados por la jurisprudencia provincial en la materia y no ha sido eficazmente rebatido por la apelante, quien se limita a formular consideraciones genéricas sobre el contexto inflacionario y a invocar precedentes de la Corte Suprema de Justicia de la Nación referidos a otras relaciones jurídicas, sin demostrar concretamente, en el caso particular, la configuración de un resultado confiscatorio, desproporcionado o irrazonable (SCBA, "Vera, Juan Carlos contra Provincia de Buenos Aires. Daños y perjuicios", causa C. 120.536, 18/04/2018; </w:t>
      </w:r>
      <w:r>
        <w:rPr>
          <w:color w:val="000000"/>
          <w:shd w:val="clear" w:color="auto" w:fill="FFFFFF"/>
          <w:lang w:val="es-AR" w:eastAsia="es-AR" w:bidi="es-AR"/>
        </w:rPr>
        <w:t xml:space="preserve">SCJBA, "Nidera S.A. contra Provincia de Buenos Aires. Daños y perjuicios", C. 121.134, 3/5/2018)</w:t>
      </w:r>
      <w:r>
        <w:rPr>
          <w:lang w:val="es-AR" w:eastAsia="es-AR" w:bidi="es-AR"/>
        </w:rPr>
        <w:t xml:space="preserve">. La mera invocación abstracta de un eventual exceso, sin prueba ni demostración concreta de su entidad en el caso, resulta insuficiente para descalificar el criterio adoptado por la magistrada de grado.</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el señor Juez Roberto Degleue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Rechazar el recurso de apelación deducido por la demandada y citada en garantía y en su mérito confirmar la sentencia primera en todas sus partes.</w:t>
      </w:r>
    </w:p>
    <w:p>
      <w:pPr>
        <w:pStyle w:val="[Normal]"/>
        <w:spacing w:line="360" w:lineRule="auto"/>
        <w:ind w:firstLine="1134"/>
        <w:jc w:val="both"/>
        <w:rPr>
          <w:lang w:val="es-AR" w:eastAsia="es-AR" w:bidi="es-AR"/>
        </w:rPr>
      </w:pPr>
      <w:r>
        <w:rPr>
          <w:lang w:val="es-AR" w:eastAsia="es-AR" w:bidi="es-AR"/>
        </w:rPr>
        <w:t xml:space="preserve">Costas a la apelante vencida (Art. 68 del C.P.C.C)</w:t>
      </w:r>
    </w:p>
    <w:p>
      <w:pPr>
        <w:pStyle w:val="[Normal]"/>
        <w:spacing w:line="360" w:lineRule="auto"/>
        <w:ind w:firstLine="1134"/>
        <w:jc w:val="both"/>
        <w:rPr>
          <w:lang w:val="es-AR" w:eastAsia="es-AR" w:bidi="es-AR"/>
        </w:rPr>
      </w:pPr>
      <w:r>
        <w:rPr>
          <w:lang w:val="es-AR" w:eastAsia="es-AR" w:bidi="es-AR"/>
        </w:rPr>
        <w:t xml:space="preserve">Diferir la regulación de los honorarios para el momento oportuno (Art. 31 ley arancelaria).</w:t>
      </w:r>
    </w:p>
    <w:p>
      <w:pPr>
        <w:pStyle w:val="[Normal]"/>
        <w:spacing w:line="360" w:lineRule="auto"/>
        <w:ind w:firstLine="1134"/>
        <w:jc w:val="both"/>
        <w:rPr>
          <w:lang w:val="es-AR" w:eastAsia="es-AR" w:bidi="es-AR"/>
        </w:rPr>
      </w:pPr>
      <w:r>
        <w:rPr>
          <w:b/>
          <w:lang w:val="es-AR" w:eastAsia="es-AR" w:bidi="es-AR"/>
        </w:rPr>
        <w:t xml:space="preserve">ASÍ LO VOTO.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u w:val="single"/>
          <w:lang w:val="es-AR" w:eastAsia="es-AR" w:bidi="es-AR"/>
        </w:rPr>
        <w:t xml:space="preserve">S E N T E N C I A:</w:t>
      </w:r>
    </w:p>
    <w:p>
      <w:pPr>
        <w:pStyle w:val="[Normal]"/>
        <w:spacing w:line="360" w:lineRule="auto"/>
        <w:ind w:firstLine="1134"/>
        <w:jc w:val="both"/>
        <w:rPr>
          <w:lang w:val="es-AR" w:eastAsia="es-AR" w:bidi="es-AR"/>
        </w:rPr>
      </w:pPr>
      <w:r>
        <w:rPr>
          <w:lang w:val="es-AR" w:eastAsia="es-AR" w:bidi="es-AR"/>
        </w:rPr>
        <w:t xml:space="preserve">Rechazar el recurso de apelación deducido por la demandada y citada en garantía y en su mérito confirmar la sentencia primera en todas sus partes.</w:t>
      </w:r>
    </w:p>
    <w:p>
      <w:pPr>
        <w:pStyle w:val="[Normal]"/>
        <w:spacing w:line="360" w:lineRule="auto"/>
        <w:ind w:firstLine="1134"/>
        <w:jc w:val="both"/>
        <w:rPr>
          <w:lang w:val="es-AR" w:eastAsia="es-AR" w:bidi="es-AR"/>
        </w:rPr>
      </w:pPr>
      <w:r>
        <w:rPr>
          <w:lang w:val="es-AR" w:eastAsia="es-AR" w:bidi="es-AR"/>
        </w:rPr>
        <w:t xml:space="preserve">Costas a la apelante vencida (Art. 68 del C.P.C.C)</w:t>
      </w:r>
    </w:p>
    <w:p>
      <w:pPr>
        <w:pStyle w:val="[Normal]"/>
        <w:spacing w:line="360" w:lineRule="auto"/>
        <w:ind w:firstLine="1134"/>
        <w:jc w:val="both"/>
        <w:rPr>
          <w:lang w:val="es-AR" w:eastAsia="es-AR" w:bidi="es-AR"/>
        </w:rPr>
      </w:pPr>
      <w:r>
        <w:rPr>
          <w:lang w:val="es-AR" w:eastAsia="es-AR" w:bidi="es-AR"/>
        </w:rPr>
        <w:t xml:space="preserve">Diferir la regulación de los honorarios para el momento oportuno (Art. 31 ley arancelaria).</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y mod.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10:53:09 -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10:53:39 -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13:42:26 -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‰9=")è&amp;Á}GlŠ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252902090006969339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06/08/2026 13:42:37 hs. bajo el número RS-123-2026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