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spacing w:line="360" w:lineRule="auto"/>
        <w:ind w:firstLine="1134"/>
        <w:jc w:val="both"/>
        <w:rPr>
          <w:lang w:val="es-AR" w:eastAsia="es-AR" w:bidi="es-AR"/>
        </w:rPr>
      </w:pPr>
      <w:r>
        <w:rPr>
          <w:lang w:val="es-AR" w:eastAsia="es-AR" w:bidi="es-AR"/>
        </w:rPr>
        <w:t xml:space="preserve"> En la ciudad de Pergamino, reunidos en Acuerdo Ordinario los Sres. Jueces de la Excma. Cámara de Apelación en lo Civil y Comercial del Departamento Judicial Pergamino, para dictar sentencia en la causa N° </w:t>
      </w:r>
      <w:r>
        <w:rPr>
          <w:color w:val="000000"/>
          <w:lang w:val="es-AR" w:eastAsia="es-AR" w:bidi="es-AR"/>
        </w:rPr>
        <w:t xml:space="preserve">5307-24</w:t>
      </w:r>
      <w:r>
        <w:rPr>
          <w:lang w:val="es-AR" w:eastAsia="es-AR" w:bidi="es-AR"/>
        </w:rPr>
        <w:t xml:space="preserve"> caratulada </w:t>
      </w:r>
      <w:r>
        <w:rPr>
          <w:b/>
          <w:lang w:val="es-AR" w:eastAsia="es-AR" w:bidi="es-AR"/>
        </w:rPr>
        <w:t xml:space="preserve">"</w:t>
      </w:r>
      <w:r>
        <w:rPr>
          <w:b/>
          <w:color w:val="000000"/>
          <w:lang w:val="es-AR" w:eastAsia="es-AR" w:bidi="es-AR"/>
        </w:rPr>
        <w:t xml:space="preserve">B. M. F.  C/ M. A. E. S/ INCIDENTE DE ALIMENTOS</w:t>
      </w:r>
      <w:r>
        <w:rPr>
          <w:b/>
          <w:lang w:val="es-AR" w:eastAsia="es-AR" w:bidi="es-AR"/>
        </w:rPr>
        <w:t xml:space="preserve">"</w:t>
      </w:r>
      <w:r>
        <w:rPr>
          <w:color w:val="000000"/>
          <w:lang w:val="es-AR" w:eastAsia="es-AR" w:bidi="es-AR"/>
        </w:rPr>
        <w:t xml:space="preserve">,</w:t>
      </w:r>
      <w:r>
        <w:rPr>
          <w:lang w:val="es-AR" w:eastAsia="es-AR" w:bidi="es-AR"/>
        </w:rPr>
        <w:t xml:space="preserve"> Expte. </w:t>
      </w:r>
      <w:r>
        <w:rPr>
          <w:color w:val="000000"/>
          <w:lang w:val="es-AR" w:eastAsia="es-AR" w:bidi="es-AR"/>
        </w:rPr>
        <w:t xml:space="preserve">24.500</w:t>
      </w:r>
      <w:r>
        <w:rPr>
          <w:color w:val="000000"/>
          <w:lang w:val="es-AR" w:eastAsia="es-AR" w:bidi="es-AR"/>
        </w:rPr>
        <w:t xml:space="preserve"> </w:t>
      </w:r>
      <w:r>
        <w:rPr>
          <w:lang w:val="es-AR" w:eastAsia="es-AR" w:bidi="es-AR"/>
        </w:rPr>
        <w:t xml:space="preserve">del Juzgado de Familia n° 1, se practicó el sorteo de ley que determinó que la votación debía efectuarse en el siguiente orden: Graciela Scaraffia y Roberto Degleue, y estudiados los autos se resolvió plantear y votar las siguientes: </w:t>
      </w:r>
    </w:p>
    <w:p>
      <w:pPr>
        <w:pStyle w:val="[Normal]"/>
        <w:spacing w:line="360" w:lineRule="auto"/>
        <w:ind w:firstLine="1134"/>
        <w:jc w:val="both"/>
        <w:rPr>
          <w:lang w:val="es-AR" w:eastAsia="es-AR" w:bidi="es-AR"/>
        </w:rPr>
      </w:pPr>
      <w:r>
        <w:rPr>
          <w:b/>
          <w:lang w:val="es-AR" w:eastAsia="es-AR" w:bidi="es-AR"/>
        </w:rPr>
        <w:t xml:space="preserve">C U E S T I O N E S</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I) ¿Se ajusta a derecho la sentencia apelada?</w:t>
      </w:r>
    </w:p>
    <w:p>
      <w:pPr>
        <w:pStyle w:val="[Normal]"/>
        <w:spacing w:line="360" w:lineRule="auto"/>
        <w:ind w:firstLine="1134"/>
        <w:jc w:val="both"/>
        <w:rPr>
          <w:lang w:val="es-AR" w:eastAsia="es-AR" w:bidi="es-AR"/>
        </w:rPr>
      </w:pPr>
      <w:r>
        <w:rPr>
          <w:lang w:val="es-AR" w:eastAsia="es-AR" w:bidi="es-AR"/>
        </w:rPr>
        <w:t xml:space="preserve">II) ¿Qué pronunciamiento corresponde dictar?</w:t>
      </w:r>
    </w:p>
    <w:p>
      <w:pPr>
        <w:pStyle w:val="[Normal]"/>
        <w:spacing w:line="360" w:lineRule="auto"/>
        <w:ind w:firstLine="1134"/>
        <w:jc w:val="both"/>
        <w:rPr>
          <w:lang w:val="es-AR" w:eastAsia="es-AR" w:bidi="es-AR"/>
        </w:rPr>
      </w:pPr>
      <w:r>
        <w:rPr>
          <w:lang w:val="es-AR" w:eastAsia="es-AR" w:bidi="es-AR"/>
        </w:rPr>
        <w:t xml:space="preserve">A la primera cuestión la señora Jueza Graciela Scaraffia dijo:</w:t>
      </w:r>
    </w:p>
    <w:p>
      <w:pPr>
        <w:pStyle w:val="[Normal]"/>
        <w:spacing w:line="360" w:lineRule="auto"/>
        <w:ind w:firstLine="1134"/>
        <w:jc w:val="both"/>
        <w:rPr>
          <w:lang w:val="es-AR" w:eastAsia="es-AR" w:bidi="es-AR"/>
        </w:rPr>
      </w:pPr>
      <w:r>
        <w:rPr>
          <w:lang w:val="es-AR" w:eastAsia="es-AR" w:bidi="es-AR"/>
        </w:rPr>
        <w:t xml:space="preserve">El Sr. Juez de la anterior instancia hizo</w:t>
      </w:r>
      <w:r>
        <w:rPr>
          <w:color w:val="000000"/>
          <w:lang w:val="es-AR" w:eastAsia="es-AR" w:bidi="es-AR"/>
        </w:rPr>
        <w:t xml:space="preserve"> lugar parcialmente a la demanda promovida por la Sra. M. F. B. (DNI xxxx ) en representación de su hijo menor de edad y fijó en concepto de cuota alimentaria que deberá abonar el demandado, Sr. A. E. M. (DNI xxxx) en favor de su hijo G.M. (DNI xxx), la suma mensual de Pesos doscientos mil ($200.000) con una actualización semestral de dicha suma de acuerdo al Indice de la Canasta Básica Total publicada por el INDEC y con más el pago de la obra social, y el pago del 50% de la matrícula y cuota escolar y el pago del 50% de los gastos extraordinarios (gastos médicos no cubiertos por la obra social y los gastos de comienzo de clases como uniformes, calzado, útiles y materiales). Dicho importe deberá ser depositado en la cuenta abierta a nombre de autos Número: 6584-027-5267560 C.B.U:01403006-27658452675605 en el Banco de la Provincia de Buenos Aires Suc. Centro de Pergamino del 1º al 10 de cada mes (arts. 658, 659, y 660 del Código Civil y Comercial). Desestimó la demanda interpuesta por la Sra. M. F. B. (DNI xxxx) en representación de su hijo menor de edad contra la codemandada Sra. M. L. E. (DNI xxx) por lo expuesto en los considerandos (arg.art. 668 del CCyC, doct. y jurisp citada). Estableció que la presente cuota alimentaria debe abonarse por mes adelantado y rige a partir de la fecha en que la parte actora solicita el traslado de la acción -28/8/2024- conforme los considerandos (arts. 669 y 548 del C.C.C.), a la que deberá deducirse la suma abonada por el alimentante durante el desarrollo de éste proceso en carácter de alimentos provisorios. Hizo saber al accionado que las sumas debidas por alimentos a partir de la presente por el incumplimiento en el plazo previsto devengarán una tasa de interés (activa) equivalente a la más alta que cobra el Banco de la Provincia de Buenos Aires a sus clientes, según las reglamentaciones del Banco Central de la República Argentina (art. 552 C.C.C.). Difirió la fijación de cuota suplementaria para atender las cuotas alimentarias atrasadas desde la fecha de interposición de la demanda hasta el presente, conforme lo establecido en el punto VI de los considerandos. Estableció que los intereses devengados en concepto de alimentos atrasados con posterioridad a la presente sentencia se liquiden según las pautas establecidas en el punto VII de los considerandos. Impuso las costas de la demanda de alimentos contra el progenitor al Sr. A. E. M. en su condición de vencido y las correspondientes a la demanda contra la abuela paterna, Sra. M. L. E., en el orden causado (art. 68 CPCC) correspondiendo realizar una única regulación de honorarios. Difirió la regulación de honorarios para una vez que halla pautas para ello (art. 39 ley 14.967). A tal fin deberá acompañarse comprobante de pago de obra social, comprobante de pago de la matricula y cuota escolar. </w:t>
      </w:r>
    </w:p>
    <w:p>
      <w:pPr>
        <w:pStyle w:val="[Normal]"/>
        <w:spacing w:line="360" w:lineRule="auto"/>
        <w:ind w:firstLine="1134"/>
        <w:jc w:val="both"/>
        <w:rPr>
          <w:lang w:val="es-AR" w:eastAsia="es-AR" w:bidi="es-AR"/>
        </w:rPr>
      </w:pPr>
      <w:r>
        <w:rPr>
          <w:lang w:val="es-AR" w:eastAsia="es-AR" w:bidi="es-AR"/>
        </w:rPr>
        <w:t xml:space="preserve">Tal decisorio fue objeto del recurso de apelación interpuesto el día 29-10-2025 por la parte actora, concedido el 5-11-2025 en relación y con efecto devolutivo y del mismo traslado el 18-11-2025 a los demandados los que fueron evacuados el día 2-12-2025. Y el 5-12-2025 por la Sra. Asesora de Incapaces Dra. Andrea F. Adba.</w:t>
      </w:r>
    </w:p>
    <w:p>
      <w:pPr>
        <w:pStyle w:val="[Normal]"/>
        <w:spacing w:line="360" w:lineRule="auto"/>
        <w:ind w:firstLine="1134"/>
        <w:jc w:val="both"/>
        <w:rPr>
          <w:lang w:val="es-AR" w:eastAsia="es-AR" w:bidi="es-AR"/>
        </w:rPr>
      </w:pPr>
      <w:r>
        <w:rPr>
          <w:lang w:val="es-AR" w:eastAsia="es-AR" w:bidi="es-AR"/>
        </w:rPr>
        <w:t xml:space="preserve">Elevados los autos a esta Alzada con fecha 25-6-2026 llamamiento de autos, providencia, que firme a la fecha deja la causa en condiciones de ser fallada.</w:t>
      </w:r>
    </w:p>
    <w:p>
      <w:pPr>
        <w:pStyle w:val="[Normal]"/>
        <w:spacing w:line="360" w:lineRule="auto"/>
        <w:ind w:firstLine="1134"/>
        <w:jc w:val="both"/>
        <w:rPr>
          <w:lang w:val="es-AR" w:eastAsia="es-AR" w:bidi="es-AR"/>
        </w:rPr>
      </w:pPr>
      <w:r>
        <w:rPr>
          <w:lang w:val="es-AR" w:eastAsia="es-AR" w:bidi="es-AR"/>
        </w:rPr>
        <w:t xml:space="preserve">1) Contra dicho pronunciamiento se alza la parte actora, agraviándose en síntesis por: 1) la insuficiencia del monto fijado, en contradicción -según sostiene- con el propio parámetro de la Canasta Básica Total invocado por el a quo; 2) la imposición a su parte de una carga probatoria excesiva para habilitar la acción subsidiaria contra la abuela paterna; 3) la exclusión de la abuela sin sustento probatorio suficiente, pese a que ésta no acreditó imposibilidad alguna; 4) el desconocimiento de la existencia de un expediente de ejecución de alimentos por incumplimientos del progenitor; 5) la falta de valoración de la conducta procesal omisiva del demandado en materia probatoria sobre sus ingresos; 6) la omisión de incluir como gasto extraordinario el abono del club deportivo; y 7) la fecha fijada como punto de partida de la cuota, solicitando se retrotraiga a la fecha de la audiencia de etapa previa (13/7/2020).</w:t>
      </w:r>
    </w:p>
    <w:p>
      <w:pPr>
        <w:pStyle w:val="[Normal]"/>
        <w:spacing w:line="360" w:lineRule="auto"/>
        <w:ind w:firstLine="1134"/>
        <w:jc w:val="both"/>
        <w:rPr>
          <w:lang w:val="es-AR" w:eastAsia="es-AR" w:bidi="es-AR"/>
        </w:rPr>
      </w:pPr>
      <w:r>
        <w:rPr>
          <w:lang w:val="es-AR" w:eastAsia="es-AR" w:bidi="es-AR"/>
        </w:rPr>
        <w:t xml:space="preserve">2) El demandado contestó el traslado solicitando el rechazo del recurso y la confirmación de la sentencia en todo cuanto fuera materia de agravio, negando la configuración de violencia económica y sosteniendo que la cuota fijada se ajusta a su real capacidad contributiva, la que -según afirma- fue correctamente ponderada por el sentenciante.</w:t>
      </w:r>
    </w:p>
    <w:p>
      <w:pPr>
        <w:pStyle w:val="[Normal]"/>
        <w:spacing w:line="360" w:lineRule="auto"/>
        <w:ind w:firstLine="1134"/>
        <w:jc w:val="both"/>
        <w:rPr>
          <w:lang w:val="es-AR" w:eastAsia="es-AR" w:bidi="es-AR"/>
        </w:rPr>
      </w:pPr>
      <w:r>
        <w:rPr>
          <w:lang w:val="es-AR" w:eastAsia="es-AR" w:bidi="es-AR"/>
        </w:rPr>
        <w:t xml:space="preserve">3) La Asesora de Incapaces en su presentación electrónica de fecha 5/12/2025 opina que debería haberse tomado la fecha de la etapa previa (2/03/2020) cuando se tomó la fecha de la demanda 18/01/2024 para definir la retroactividad planteada en el punto 6 del memorial.-</w:t>
      </w:r>
    </w:p>
    <w:p>
      <w:pPr>
        <w:pStyle w:val="[Normal]"/>
        <w:spacing w:line="360" w:lineRule="auto"/>
        <w:ind w:firstLine="1134"/>
        <w:jc w:val="both"/>
        <w:rPr>
          <w:lang w:val="es-AR" w:eastAsia="es-AR" w:bidi="es-AR"/>
        </w:rPr>
      </w:pPr>
      <w:r>
        <w:rPr>
          <w:lang w:val="es-AR" w:eastAsia="es-AR" w:bidi="es-AR"/>
        </w:rPr>
        <w:t xml:space="preserve">4) Entrando a resolver analizaremos  los distintos puntos de crisis traídos por la quejosa: </w:t>
      </w:r>
    </w:p>
    <w:p>
      <w:pPr>
        <w:pStyle w:val="[Normal]"/>
        <w:spacing w:line="360" w:lineRule="auto"/>
        <w:ind w:firstLine="1134"/>
        <w:jc w:val="both"/>
        <w:rPr>
          <w:lang w:val="es-AR" w:eastAsia="es-AR" w:bidi="es-AR"/>
        </w:rPr>
      </w:pPr>
      <w:r>
        <w:rPr>
          <w:lang w:val="es-AR" w:eastAsia="es-AR" w:bidi="es-AR"/>
        </w:rPr>
        <w:t xml:space="preserve">1) El agravio relativo al monto de la cuota alimentaria: </w:t>
      </w:r>
    </w:p>
    <w:p>
      <w:pPr>
        <w:pStyle w:val="[Normal]"/>
        <w:spacing w:line="360" w:lineRule="auto"/>
        <w:ind w:firstLine="1134"/>
        <w:jc w:val="both"/>
        <w:rPr>
          <w:lang w:val="es-AR" w:eastAsia="es-AR" w:bidi="es-AR"/>
        </w:rPr>
      </w:pPr>
      <w:r>
        <w:rPr>
          <w:lang w:val="es-AR" w:eastAsia="es-AR" w:bidi="es-AR"/>
        </w:rPr>
        <w:t xml:space="preserve">Asiste parcialmente razón a la apelante. El propio magistrado de grado señaló expresamente que, tratándose de un joven de 16 años, utilizaría "como parámetro de referencia la Canasta Básica Total para justipreciar un quantum que satisfaga las necesidades del adolescente", ponderando que dicho índice ascendía, para septiembre de 2025, a $1.176.852 para un hogar tipo de cuatro integrantes. Sin embargo, al momento de resolver fijó una cuota en dinero de $200.000, es decir, una suma sensiblemente inferior a la cuarta parte de ese valor de referencia, sin explicitar el desarrollo lógico que lo llevó de la premisa (el parámetro de la CBT) a la conclusión cuantitativa (el monto fijado). Ello configura -en este punto específico y sin que corresponda extender la descalificación a la totalidad del fallo, como pretende la recurrente- una insuficiente fundamentación en orden a la derivación numérica concreta, que autoriza a esta Alzada a revisar el quantum (arts. 34 inc. 4, 163 inc. 6 CPCC).</w:t>
      </w:r>
    </w:p>
    <w:p>
      <w:pPr>
        <w:pStyle w:val="[Normal]"/>
        <w:spacing w:line="360" w:lineRule="auto"/>
        <w:ind w:firstLine="1134"/>
        <w:jc w:val="both"/>
        <w:rPr>
          <w:lang w:val="es-AR" w:eastAsia="es-AR" w:bidi="es-AR"/>
        </w:rPr>
      </w:pPr>
      <w:r>
        <w:rPr>
          <w:lang w:val="es-AR" w:eastAsia="es-AR" w:bidi="es-AR"/>
        </w:rPr>
        <w:t xml:space="preserve">A ello se suma que, conforme surge de los considerandos de la sentencia recurrida, el Sr. M. -pese a hallarse sobre él la carga de acreditar su capacidad económica por ser quien está en mejores condiciones de hacerlo (art. 710 CCyC; SCBA causa citada por el a quo)- no aportó elemento alguno que permitiera determinar sus ingresos reales como comisionista, limitándose a manifestaciones genéricas. Dicha orfandad probatoria no puede jugar a su favor, sino que debe interpretarse, conforme al principio de las cargas probatorias dinámicas, como un indicio en contra de sus intereses en cuanto a la real magnitud de su capacidad contributiva, sin que ello implique -como pretende la actora- prescindir de todo parámetro objetivo para su cuantificación.</w:t>
      </w:r>
    </w:p>
    <w:p>
      <w:pPr>
        <w:pStyle w:val="[Normal]"/>
        <w:spacing w:line="360" w:lineRule="auto"/>
        <w:ind w:firstLine="1134"/>
        <w:jc w:val="both"/>
        <w:rPr>
          <w:lang w:val="es-AR" w:eastAsia="es-AR" w:bidi="es-AR"/>
        </w:rPr>
      </w:pPr>
      <w:r>
        <w:rPr>
          <w:lang w:val="es-AR" w:eastAsia="es-AR" w:bidi="es-AR"/>
        </w:rPr>
        <w:t xml:space="preserve">Ponderando entonces: a) la edad del joven (16 años) y el consiguiente incremento de sus necesidades de alimentación, educación, vestimenta y esparcimiento; b) el parámetro de la Canasta Básica Total tomado por el propio sentenciante como pauta de referencia, y aquí debo señalar enfáticamente que este tribunal ya ha dicho en numerosos precedentes que se trata de un valor orientativo más no obligatorio; c) la ausencia de prueba idónea sobre los ingresos del alimentante, que impide fijar una suma equivalente a dicho parámetro pero tampoco autoriza a mantener una cuota tan alejada de él; d) que el progenitor abona además, en especie, la obra social y el 50% de la matrícula y cuota escolar, prestaciones que también contribuyen a la satisfacción de las necesidades del joven y deben computarse en el balance global (art. 659 CCyC); y e) que asimismo debe computarse el aporte de la progenitora conviviente, cuyas tareas de cuidado tienen valor económico propio (art. 660 CCyC); corresponde elevar prudencialmente la cuota alimentaria mensual a cargo del Sr. A. E. M. a la suma de pesos trescientos mil ($300.000), manteniéndose la actualización semestral según el Índice de Canasta Básica Total del INDEC y las demás prestaciones en especie fijadas en la instancia de grado.</w:t>
      </w:r>
    </w:p>
    <w:p>
      <w:pPr>
        <w:pStyle w:val="[Normal]"/>
        <w:spacing w:line="360" w:lineRule="auto"/>
        <w:ind w:firstLine="1134"/>
        <w:jc w:val="both"/>
        <w:rPr>
          <w:lang w:val="es-AR" w:eastAsia="es-AR" w:bidi="es-AR"/>
        </w:rPr>
      </w:pPr>
      <w:r>
        <w:rPr>
          <w:lang w:val="es-AR" w:eastAsia="es-AR" w:bidi="es-AR"/>
        </w:rPr>
        <w:t xml:space="preserve">No habrá de prosperar, en cambio, la pretensión de la actora de que se fije una suma equivalente a la totalidad de sus gastos estimados (alimentación, vivienda, vestimenta, educación, salud, transporte, recreación, tecnología, etc.), toda vez que dicha estimación, según fuera correctamente señalado en la instancia de grado y no rebatido eficazmente en esta Alzada, corresponde a gastos del grupo familiar conviviente en su conjunto y no exclusivamente del joven alimentado, y la obligación alimentaria no puede traducirse en una transferencia total de los ingresos del progenitor no conviviente, quien debe también poder afrontar su propia subsistencia y generar los ingresos con los que solventar la cuota (arts. 658 y 659 CCyC).</w:t>
      </w:r>
    </w:p>
    <w:p>
      <w:pPr>
        <w:pStyle w:val="[Normal]"/>
        <w:spacing w:line="360" w:lineRule="auto"/>
        <w:ind w:firstLine="1134"/>
        <w:jc w:val="both"/>
        <w:rPr>
          <w:lang w:val="es-AR" w:eastAsia="es-AR" w:bidi="es-AR"/>
        </w:rPr>
      </w:pPr>
      <w:r>
        <w:rPr>
          <w:lang w:val="es-AR" w:eastAsia="es-AR" w:bidi="es-AR"/>
        </w:rPr>
        <w:t xml:space="preserve">2) El agravio relativo a la carga de la prueba para habilitar la acción subsidiaria contra la abuela paterna:</w:t>
      </w:r>
    </w:p>
    <w:p>
      <w:pPr>
        <w:pStyle w:val="[Normal]"/>
        <w:spacing w:line="360" w:lineRule="auto"/>
        <w:ind w:firstLine="1134"/>
        <w:jc w:val="both"/>
        <w:rPr>
          <w:lang w:val="es-AR" w:eastAsia="es-AR" w:bidi="es-AR"/>
        </w:rPr>
      </w:pPr>
      <w:r>
        <w:rPr>
          <w:lang w:val="es-AR" w:eastAsia="es-AR" w:bidi="es-AR"/>
        </w:rPr>
        <w:t xml:space="preserve">Adelanto el rechazo de este punto: El art. 668 del Código Civil y Comercial establece con claridad que la obligación alimentaria de los ascendientes reviste carácter subsidiario respecto de la de los progenitores, por lo que quien pretenda extenderla a los abuelos debe acreditar verosímilmente la dificultad o imposibilidad del progenitor obligado principal para hacer frente a la prestación. Se trata de un criterio uniformemente sostenido por la doctrina y jurisprudencia citada por el propio a quo (Kemelmajer, Herrera, Lloveras; Marisa Herrera - Gustavo Caramelo - Sebastián Picasso), que no resulta una imposición irrazonable ni una probatio diabólica, sino la consecuencia lógica del carácter subsidiario -y no solidario ni concurrente en igualdad de condiciones- que la ley asigna a dicha obligación.</w:t>
      </w:r>
    </w:p>
    <w:p>
      <w:pPr>
        <w:pStyle w:val="[Normal]"/>
        <w:spacing w:line="360" w:lineRule="auto"/>
        <w:ind w:firstLine="1134"/>
        <w:jc w:val="both"/>
        <w:rPr>
          <w:lang w:val="es-AR" w:eastAsia="es-AR" w:bidi="es-AR"/>
        </w:rPr>
      </w:pPr>
      <w:r>
        <w:rPr>
          <w:lang w:val="es-AR" w:eastAsia="es-AR" w:bidi="es-AR"/>
        </w:rPr>
        <w:t xml:space="preserve">En el caso, y tal como fuera correctamente ponderado en la instancia de grado, se encuentra acreditado que el progenitor efectuó depósitos regulares en la cuenta de autos y que además abona el 50% de la matrícula y cuota escolar del joven, circunstancias reconocidas por la propia actora en su demanda. Dicha conducta, sin perjuicio del desacuerdo de las partes en torno al quantum de la cuota -cuestión ya tratada en el considerando que antecede-, resulta indicativa de la voluntad de cumplimiento del obligado principal, lo que obsta a tener por configurado el presupuesto de incumplimiento o insuficiencia que habilitaría la acción subsidiaria contra la abuela paterna.</w:t>
      </w:r>
    </w:p>
    <w:p>
      <w:pPr>
        <w:pStyle w:val="[Normal]"/>
        <w:spacing w:line="360" w:lineRule="auto"/>
        <w:ind w:firstLine="1134"/>
        <w:jc w:val="both"/>
        <w:rPr>
          <w:lang w:val="es-AR" w:eastAsia="es-AR" w:bidi="es-AR"/>
        </w:rPr>
      </w:pPr>
      <w:r>
        <w:rPr>
          <w:lang w:val="es-AR" w:eastAsia="es-AR" w:bidi="es-AR"/>
        </w:rPr>
        <w:t xml:space="preserve">3) El agravio relativo a la exclusión de la abuela paterna sin sustento probatorio:</w:t>
      </w:r>
    </w:p>
    <w:p>
      <w:pPr>
        <w:pStyle w:val="[Normal]"/>
        <w:spacing w:line="360" w:lineRule="auto"/>
        <w:ind w:firstLine="1134"/>
        <w:jc w:val="both"/>
        <w:rPr>
          <w:lang w:val="es-AR" w:eastAsia="es-AR" w:bidi="es-AR"/>
        </w:rPr>
      </w:pPr>
      <w:r>
        <w:rPr>
          <w:lang w:val="es-AR" w:eastAsia="es-AR" w:bidi="es-AR"/>
        </w:rPr>
        <w:t xml:space="preserve">Tampoco habrá de prosperar este segmento del recurso. El reconocimiento del vínculo por parte de la Sra. E. y su manifestación -efectuada por intermedio de su patrocinio letrado- en cuanto a que colaboraría en el pago de un gasto extraordinario puntual (el viaje de estudios del joven) no equivale al reconocimiento de una obligación alimentaria de carácter principal ni suple la ausencia del presupuesto legal de subsidiariedad exigido por el art. 668 CCyC. Antes bien, la codemandada contestó demanda negando los hechos, invocó y acreditó su condición de jubilada con haber mínimo ($234.548,23 a octubre de 2024), lo que fue expresamente valorado por el sentenciante como un factor adicional para desestimar la pretensión en su contra. No se advierte, entonces, que el a quo haya suplido de oficio una defensa que la parte no planteó, sino que aplicó el derecho a los hechos acreditados en la causa, lo que descarta la existencia de la alegada mutación fáctica o violación de la garantía de defensa en juicio.</w:t>
      </w:r>
    </w:p>
    <w:p>
      <w:pPr>
        <w:pStyle w:val="[Normal]"/>
        <w:spacing w:line="360" w:lineRule="auto"/>
        <w:ind w:firstLine="1134"/>
        <w:jc w:val="both"/>
        <w:rPr>
          <w:lang w:val="es-AR" w:eastAsia="es-AR" w:bidi="es-AR"/>
        </w:rPr>
      </w:pPr>
      <w:r>
        <w:rPr>
          <w:lang w:val="es-AR" w:eastAsia="es-AR" w:bidi="es-AR"/>
        </w:rPr>
        <w:t xml:space="preserve">4) El agravio fundado en la existencia del expediente de ejecución de alimentos (Expte. Nº 38199):</w:t>
      </w:r>
    </w:p>
    <w:p>
      <w:pPr>
        <w:pStyle w:val="[Normal]"/>
        <w:spacing w:line="360" w:lineRule="auto"/>
        <w:ind w:firstLine="1134"/>
        <w:jc w:val="both"/>
        <w:rPr>
          <w:lang w:val="es-AR" w:eastAsia="es-AR" w:bidi="es-AR"/>
        </w:rPr>
      </w:pPr>
      <w:r>
        <w:rPr>
          <w:lang w:val="es-AR" w:eastAsia="es-AR" w:bidi="es-AR"/>
        </w:rPr>
        <w:t xml:space="preserve">No puede tener favorable acogida la existencia de un proceso de ejecución de sentencia por presuntos incumplimientos posteriores no fue introducida como prueba en las presentes actuaciones, ni ofrecida ni incorporada en la oportunidad procesal correspondiente (art. 27/2/2025, apertura a prueba), por lo que su valoración por esta Alzada implicaría apartarse de la prueba producida en autos y afectar el derecho de defensa de la contraria, que no tuvo ocasión de expedirse al respecto en esta causa. Ello sin perjuicio de que dicha circunstancia -de verificarse incumplimientos- pueda ser invocada y merituada en el marco del proceso en que efectivamente tramita, e inclusive eventualmente fundar, si se dan sus presupuestos, una nueva petición en los términos del art. 668 CCyC, cuestión ajena a la materia revisable en esta instancia.</w:t>
      </w:r>
    </w:p>
    <w:p>
      <w:pPr>
        <w:pStyle w:val="[Normal]"/>
        <w:spacing w:line="360" w:lineRule="auto"/>
        <w:ind w:firstLine="1134"/>
        <w:jc w:val="both"/>
        <w:rPr>
          <w:lang w:val="es-AR" w:eastAsia="es-AR" w:bidi="es-AR"/>
        </w:rPr>
      </w:pPr>
      <w:r>
        <w:rPr>
          <w:lang w:val="es-AR" w:eastAsia="es-AR" w:bidi="es-AR"/>
        </w:rPr>
        <w:t xml:space="preserve">5) El agravio relativo a la valoración de la capacidad contributiva y la conducta procesal del demandado.</w:t>
      </w:r>
    </w:p>
    <w:p>
      <w:pPr>
        <w:pStyle w:val="[Normal]"/>
        <w:spacing w:line="360" w:lineRule="auto"/>
        <w:ind w:firstLine="1134"/>
        <w:jc w:val="both"/>
        <w:rPr>
          <w:lang w:val="es-AR" w:eastAsia="es-AR" w:bidi="es-AR"/>
        </w:rPr>
      </w:pPr>
      <w:r>
        <w:rPr>
          <w:lang w:val="es-AR" w:eastAsia="es-AR" w:bidi="es-AR"/>
        </w:rPr>
        <w:t xml:space="preserve">Este punto ha sido ya sustancialmente atendido en el considerando II, en tanto la ausencia de colaboración probatoria del demandado respecto de sus reales ingresos fue expresamente computada como fundamento para elevar el monto de la cuota alimentaria. No se advierte, sin embargo, mérito para derivar de dicha conducta procesal, por sí sola, la existencia de un incumplimiento alimentario en los términos del art. 668 CCyC, cuestión que remite a lo ya resuelto en el considerando III.</w:t>
      </w:r>
    </w:p>
    <w:p>
      <w:pPr>
        <w:pStyle w:val="[Normal]"/>
        <w:spacing w:line="360" w:lineRule="auto"/>
        <w:ind w:firstLine="1134"/>
        <w:jc w:val="both"/>
        <w:rPr>
          <w:lang w:val="es-AR" w:eastAsia="es-AR" w:bidi="es-AR"/>
        </w:rPr>
      </w:pPr>
      <w:r>
        <w:rPr>
          <w:lang w:val="es-AR" w:eastAsia="es-AR" w:bidi="es-AR"/>
        </w:rPr>
        <w:t xml:space="preserve">6) El agravio relativo a los gastos extraordinarios omitidos (club y matrícula escolar).</w:t>
      </w:r>
    </w:p>
    <w:p>
      <w:pPr>
        <w:pStyle w:val="[Normal]"/>
        <w:spacing w:line="360" w:lineRule="auto"/>
        <w:ind w:firstLine="1134"/>
        <w:jc w:val="both"/>
        <w:rPr>
          <w:lang w:val="es-AR" w:eastAsia="es-AR" w:bidi="es-AR"/>
        </w:rPr>
      </w:pPr>
      <w:r>
        <w:rPr>
          <w:lang w:val="es-AR" w:eastAsia="es-AR" w:bidi="es-AR"/>
        </w:rPr>
        <w:t xml:space="preserve">En cuanto a la matrícula y cuota escolar, el agravio deviene inoficioso, toda vez que dicho rubro ya se encuentra expresamente incluido en el punto 1) de la sentencia apelada, a cargo del demandado en un 50%, por lo que nada corresponde adicionar en ese aspecto.</w:t>
      </w:r>
    </w:p>
    <w:p>
      <w:pPr>
        <w:pStyle w:val="[Normal]"/>
        <w:spacing w:line="360" w:lineRule="auto"/>
        <w:ind w:firstLine="1134"/>
        <w:jc w:val="both"/>
        <w:rPr>
          <w:lang w:val="es-AR" w:eastAsia="es-AR" w:bidi="es-AR"/>
        </w:rPr>
      </w:pPr>
      <w:r>
        <w:rPr>
          <w:lang w:val="es-AR" w:eastAsia="es-AR" w:bidi="es-AR"/>
        </w:rPr>
        <w:t xml:space="preserve">Distinta solución corresponde en cuanto al abono del club deportivo. Encontrándose acreditado mediante prueba testimonial que el joven practica fútbol de manera extraescolar desde hace años, y no habiendo sido dicha actividad cuestionada en su origen ni en su continuidad por el demandado -quien según sus propios dichos consintió inicialmente dicha práctica-, dicho gasto reviste el carácter de necesidad propia de la edad y etapa de desarrollo del adolescente vinculada a su esparcimiento y socialización (arts. 658 y 659 CCyC), por lo que corresponde hacer lugar a este segmento del agravio e incluir, dentro de los gastos extraordinarios a cargo del progenitor en un 50%, el abono mensual del club deportivo al que concurre el joven G.M., ello previa acreditación de su monto mediante la documentación respaldatoria pertinente.</w:t>
      </w:r>
    </w:p>
    <w:p>
      <w:pPr>
        <w:pStyle w:val="[Normal]"/>
        <w:spacing w:line="360" w:lineRule="auto"/>
        <w:ind w:firstLine="1134"/>
        <w:jc w:val="both"/>
        <w:rPr>
          <w:lang w:val="es-AR" w:eastAsia="es-AR" w:bidi="es-AR"/>
        </w:rPr>
      </w:pPr>
      <w:r>
        <w:rPr>
          <w:lang w:val="es-AR" w:eastAsia="es-AR" w:bidi="es-AR"/>
        </w:rPr>
        <w:t xml:space="preserve">7) El agravio relativo a la fecha desde la cual se debe la cuota alimentaria:</w:t>
      </w:r>
    </w:p>
    <w:p>
      <w:pPr>
        <w:pStyle w:val="[Normal]"/>
        <w:spacing w:line="360" w:lineRule="auto"/>
        <w:ind w:firstLine="1134"/>
        <w:jc w:val="both"/>
        <w:rPr>
          <w:lang w:val="es-AR" w:eastAsia="es-AR" w:bidi="es-AR"/>
        </w:rPr>
      </w:pPr>
      <w:r>
        <w:rPr>
          <w:lang w:val="es-AR" w:eastAsia="es-AR" w:bidi="es-AR"/>
        </w:rPr>
        <w:t xml:space="preserve">No habrá de prosperar. Si bien es cierto que, como regla, la sentencia que fija alimentos tiene efectos retroactivos a la fecha de interposición de la demanda (art. 669 CCyC; art. 641 CPCC), dicha regla no es absoluta y puede ser morigerada por el juez cuando circunstancias objetivas del proceso así lo justifiquen, extremo que fue expresamente fundado por el a quo en la demora incurrida por la propia parte actora entre la promoción de la demanda (18/1/2024) y la solicitud de traslado de la misma (28/8/2024), lapso durante el cual, cabe destacarlo, el progenitor abonó regularmente la cuota provisoria fijada cautelarmente. La circunstancia de que el demandado hubiera tenido conocimiento genérico del proceso desde el año 2020, en el marco de un incidente anterior que fuera concluido sin acuerdo, no equivale a su anoticiamiento de la demanda de autos, presentada recién en el año 2024, por lo que no se advierte arbitrariedad en el criterio adoptado por el sentenciante, que ponderó adecuadamente las particularidades del caso dentro del marco de sus facultades discrecionales (art. 641 CPCC).</w:t>
      </w:r>
    </w:p>
    <w:p>
      <w:pPr>
        <w:pStyle w:val="[Normal]"/>
        <w:spacing w:line="360" w:lineRule="auto"/>
        <w:ind w:firstLine="1134"/>
        <w:jc w:val="both"/>
        <w:rPr>
          <w:lang w:val="es-AR" w:eastAsia="es-AR" w:bidi="es-AR"/>
        </w:rPr>
      </w:pPr>
      <w:r>
        <w:rPr>
          <w:lang w:val="es-AR" w:eastAsia="es-AR" w:bidi="es-AR"/>
        </w:rPr>
        <w:t xml:space="preserve">8) Sobre las expresiones vertidas en los escritos de las partes:</w:t>
      </w:r>
    </w:p>
    <w:p>
      <w:pPr>
        <w:pStyle w:val="[Normal]"/>
        <w:spacing w:line="360" w:lineRule="auto"/>
        <w:ind w:firstLine="1134"/>
        <w:jc w:val="both"/>
        <w:rPr>
          <w:lang w:val="es-AR" w:eastAsia="es-AR" w:bidi="es-AR"/>
        </w:rPr>
      </w:pPr>
      <w:r>
        <w:rPr>
          <w:lang w:val="es-AR" w:eastAsia="es-AR" w:bidi="es-AR"/>
        </w:rPr>
        <w:t xml:space="preserve">Sin perjuicio de lo hasta aquí resuelto, no puede pasar inadvertido para esta Alzada el tono empleado por ambas partes en sus respectivas presentaciones, con calificativos y valoraciones que exceden el marco de la discusión jurídica y que en nada contribuyen a la resolución del conflicto ni al interés superior del joven involucrado, que debe permanecer como eje central de todo pronunciamiento en esta materia.  Se exhorta a las partes y a sus letrados a observar en lo sucesivo el debido decoro, lealtad y buena fe procesal que exige la delicada naturaleza de las cuestiones de familia (arts. 34 inc. 5 CPCC).</w:t>
      </w:r>
    </w:p>
    <w:p>
      <w:pPr>
        <w:pStyle w:val="[Normal]"/>
        <w:spacing w:line="360" w:lineRule="auto"/>
        <w:ind w:firstLine="1134"/>
        <w:jc w:val="both"/>
        <w:rPr>
          <w:lang w:val="es-AR" w:eastAsia="es-AR" w:bidi="es-AR"/>
        </w:rPr>
      </w:pPr>
      <w:r>
        <w:rPr>
          <w:lang w:val="es-AR" w:eastAsia="es-AR" w:bidi="es-AR"/>
        </w:rPr>
        <w:t xml:space="preserve">9) Costas de Alzada.</w:t>
      </w:r>
    </w:p>
    <w:p>
      <w:pPr>
        <w:pStyle w:val="[Normal]"/>
        <w:spacing w:line="360" w:lineRule="auto"/>
        <w:ind w:firstLine="1134"/>
        <w:jc w:val="both"/>
        <w:rPr>
          <w:lang w:val="es-AR" w:eastAsia="es-AR" w:bidi="es-AR"/>
        </w:rPr>
      </w:pPr>
      <w:r>
        <w:rPr>
          <w:lang w:val="es-AR" w:eastAsia="es-AR" w:bidi="es-AR"/>
        </w:rPr>
        <w:t xml:space="preserve">Atento el modo en que se resuelven los agravios -con éxito parcial y recíproco para ambas partes, en tanto la actora obtiene la elevación de la cuota y la inclusión del club como gasto extraordinario, pero ve rechazados sus agravios relativos a la abuela paterna, al expediente de ejecución y a la fecha de retroactividad-, corresponde distribuirlas en un 70% a cargo de la parte demandada y un 30% a cargo de la actora (art. 68, segundo párrafo, del CPCC).</w:t>
      </w:r>
    </w:p>
    <w:p>
      <w:pPr>
        <w:pStyle w:val="[Normal]"/>
        <w:spacing w:line="360" w:lineRule="auto"/>
        <w:ind w:firstLine="1134"/>
        <w:jc w:val="both"/>
        <w:rPr>
          <w:lang w:val="es-AR" w:eastAsia="es-AR" w:bidi="es-AR"/>
        </w:rPr>
      </w:pPr>
      <w:r>
        <w:rPr>
          <w:lang w:val="es-AR" w:eastAsia="es-AR" w:bidi="es-AR"/>
        </w:rPr>
        <w:t xml:space="preserve">Por las razones dadas, citas legales de referencia y con el alcance indicado,</w:t>
      </w:r>
    </w:p>
    <w:p>
      <w:pPr>
        <w:pStyle w:val="[Normal]"/>
        <w:spacing w:line="360" w:lineRule="auto"/>
        <w:ind w:firstLine="1134"/>
        <w:jc w:val="both"/>
        <w:rPr>
          <w:lang w:val="es-AR" w:eastAsia="es-AR" w:bidi="es-AR"/>
        </w:rPr>
      </w:pPr>
      <w:r>
        <w:rPr>
          <w:b/>
          <w:lang w:val="es-AR" w:eastAsia="es-AR" w:bidi="es-AR"/>
        </w:rPr>
        <w:t xml:space="preserve">VOTO POR LA  AFIRMATIVA.</w:t>
      </w:r>
    </w:p>
    <w:p>
      <w:pPr>
        <w:pStyle w:val="[Normal]"/>
        <w:spacing w:line="360" w:lineRule="auto"/>
        <w:ind w:firstLine="1134"/>
        <w:jc w:val="both"/>
        <w:rPr>
          <w:lang w:val="es-AR" w:eastAsia="es-AR" w:bidi="es-AR"/>
        </w:rPr>
      </w:pPr>
      <w:r>
        <w:rPr>
          <w:lang w:val="es-AR" w:eastAsia="es-AR" w:bidi="es-AR"/>
        </w:rPr>
        <w:t xml:space="preserve">A la misma cuestión el señor Juez Roberto Degleue por análogos fundamentos votó en el mismo sentido.-</w:t>
      </w:r>
    </w:p>
    <w:p>
      <w:pPr>
        <w:pStyle w:val="[Normal]"/>
        <w:spacing w:line="360" w:lineRule="auto"/>
        <w:ind w:firstLine="1134"/>
        <w:jc w:val="both"/>
        <w:rPr>
          <w:lang w:val="es-AR" w:eastAsia="es-AR" w:bidi="es-AR"/>
        </w:rPr>
      </w:pPr>
      <w:r>
        <w:rPr>
          <w:lang w:val="es-AR" w:eastAsia="es-AR" w:bidi="es-AR"/>
        </w:rPr>
        <w:t xml:space="preserve">A la segunda cuestión la señora Jueza Graciela Scaraffia dijo: De conformidad al resultado habido al tratarse la cuestión precedente, estimo que el pronunciamiento que corresponde dictar es: </w:t>
      </w:r>
    </w:p>
    <w:p>
      <w:pPr>
        <w:pStyle w:val="[Normal]"/>
        <w:spacing w:line="360" w:lineRule="auto"/>
        <w:ind w:firstLine="1134"/>
        <w:jc w:val="both"/>
        <w:rPr>
          <w:lang w:val="es-AR" w:eastAsia="es-AR" w:bidi="es-AR"/>
        </w:rPr>
      </w:pPr>
      <w:r>
        <w:rPr>
          <w:lang w:val="es-AR" w:eastAsia="es-AR" w:bidi="es-AR"/>
        </w:rPr>
        <w:t xml:space="preserve">I) Confirmar el punto 2) de la sentencia apelada en cuanto rechaza la demanda dirigida contra la Sra. M. L. E..</w:t>
      </w:r>
    </w:p>
    <w:p>
      <w:pPr>
        <w:pStyle w:val="[Normal]"/>
        <w:spacing w:line="360" w:lineRule="auto"/>
        <w:ind w:firstLine="1134"/>
        <w:jc w:val="both"/>
        <w:rPr>
          <w:lang w:val="es-AR" w:eastAsia="es-AR" w:bidi="es-AR"/>
        </w:rPr>
      </w:pPr>
      <w:r>
        <w:rPr>
          <w:lang w:val="es-AR" w:eastAsia="es-AR" w:bidi="es-AR"/>
        </w:rPr>
        <w:t xml:space="preserve">II) Hacer lugar parcialmente al recurso de apelación y modificar el punto 1) de la sentencia recurrida, elevando la cuota alimentaria mensual a cargo del Sr. A. E. M. a favor de su hijo G.M. a la suma de pesos trescientos mil ($300.000), manteniéndose la actualización semestral según el Índice de Canasta Básica Total del INDEC y las demás prestaciones en especie allí fijadas (obra social y 50% de matrícula y cuota escolar).</w:t>
      </w:r>
    </w:p>
    <w:p>
      <w:pPr>
        <w:pStyle w:val="[Normal]"/>
        <w:spacing w:line="360" w:lineRule="auto"/>
        <w:ind w:firstLine="1134"/>
        <w:jc w:val="both"/>
        <w:rPr>
          <w:lang w:val="es-AR" w:eastAsia="es-AR" w:bidi="es-AR"/>
        </w:rPr>
      </w:pPr>
      <w:r>
        <w:rPr>
          <w:lang w:val="es-AR" w:eastAsia="es-AR" w:bidi="es-AR"/>
        </w:rPr>
        <w:t xml:space="preserve">III) Hacer lugar parcialmente al agravio referido a los gastos extraordinarios, incluyendo en dicho rubro, a cargo del demandado en un 50%, el abono del club deportivo al que concurre el joven, previa acreditación documental de su monto.</w:t>
      </w:r>
    </w:p>
    <w:p>
      <w:pPr>
        <w:pStyle w:val="[Normal]"/>
        <w:spacing w:line="360" w:lineRule="auto"/>
        <w:ind w:firstLine="1134"/>
        <w:jc w:val="both"/>
        <w:rPr>
          <w:lang w:val="es-AR" w:eastAsia="es-AR" w:bidi="es-AR"/>
        </w:rPr>
      </w:pPr>
      <w:r>
        <w:rPr>
          <w:lang w:val="es-AR" w:eastAsia="es-AR" w:bidi="es-AR"/>
        </w:rPr>
        <w:t xml:space="preserve">IV) Rechazar los agravios relativos a la carga probatoria para accionar contra la abuela paterna, a la valoración del expediente de ejecución de alimentos y a la fecha fijada para el devengamiento de la cuota, confirmando la sentencia apelada en dichos aspectos.</w:t>
      </w:r>
    </w:p>
    <w:p>
      <w:pPr>
        <w:pStyle w:val="[Normal]"/>
        <w:spacing w:line="360" w:lineRule="auto"/>
        <w:ind w:firstLine="1134"/>
        <w:jc w:val="both"/>
        <w:rPr>
          <w:lang w:val="es-AR" w:eastAsia="es-AR" w:bidi="es-AR"/>
        </w:rPr>
      </w:pPr>
      <w:r>
        <w:rPr>
          <w:lang w:val="es-AR" w:eastAsia="es-AR" w:bidi="es-AR"/>
        </w:rPr>
        <w:t xml:space="preserve">V) Distribuir las costas del modo indicado en los considerandos del presente.</w:t>
      </w:r>
    </w:p>
    <w:p>
      <w:pPr>
        <w:pStyle w:val="[Normal]"/>
        <w:spacing w:line="360" w:lineRule="auto"/>
        <w:ind w:firstLine="1134"/>
        <w:jc w:val="both"/>
        <w:rPr>
          <w:lang w:val="es-AR" w:eastAsia="es-AR" w:bidi="es-AR"/>
        </w:rPr>
      </w:pPr>
      <w:r>
        <w:rPr>
          <w:lang w:val="es-AR" w:eastAsia="es-AR" w:bidi="es-AR"/>
        </w:rPr>
        <w:t xml:space="preserve">VI) Diferir la regulación de honorarios de Alzada para la oportunidad procesal correspondiente (art. 39 ley 14.967).-</w:t>
      </w:r>
    </w:p>
    <w:p>
      <w:pPr>
        <w:pStyle w:val="[Normal]"/>
        <w:spacing w:line="360" w:lineRule="auto"/>
        <w:ind w:firstLine="1134"/>
        <w:jc w:val="both"/>
        <w:rPr>
          <w:lang w:val="es-AR" w:eastAsia="es-AR" w:bidi="es-AR"/>
        </w:rPr>
      </w:pPr>
      <w:r>
        <w:rPr>
          <w:b/>
          <w:lang w:val="es-AR" w:eastAsia="es-AR" w:bidi="es-AR"/>
        </w:rPr>
        <w:t xml:space="preserve">ASI LO VOTO. </w:t>
      </w:r>
    </w:p>
    <w:p>
      <w:pPr>
        <w:pStyle w:val="[Normal]"/>
        <w:spacing w:line="360" w:lineRule="auto"/>
        <w:ind w:firstLine="1134"/>
        <w:jc w:val="both"/>
        <w:rPr>
          <w:lang w:val="es-AR" w:eastAsia="es-AR" w:bidi="es-AR"/>
        </w:rPr>
      </w:pPr>
      <w:r>
        <w:rPr>
          <w:lang w:val="es-AR" w:eastAsia="es-AR" w:bidi="es-AR"/>
        </w:rPr>
        <w:t xml:space="preserve">A la misma cuestión el señor Juez Roberto Degleue por análogos fundamentos votó en el mismo sentido.-</w:t>
      </w:r>
    </w:p>
    <w:p>
      <w:pPr>
        <w:pStyle w:val="[Normal]"/>
        <w:spacing w:line="360" w:lineRule="auto"/>
        <w:ind w:firstLine="1134"/>
        <w:jc w:val="both"/>
        <w:rPr>
          <w:lang w:val="es-AR" w:eastAsia="es-AR" w:bidi="es-AR"/>
        </w:rPr>
      </w:pPr>
      <w:r>
        <w:rPr>
          <w:lang w:val="es-AR" w:eastAsia="es-AR" w:bidi="es-AR"/>
        </w:rPr>
        <w:t xml:space="preserve">Con lo que terminó el presente Acuerdo, dictándose la siguiente;</w:t>
      </w:r>
    </w:p>
    <w:p>
      <w:pPr>
        <w:pStyle w:val="[Normal]"/>
        <w:spacing w:line="360" w:lineRule="auto"/>
        <w:ind w:firstLine="1134"/>
        <w:jc w:val="both"/>
        <w:rPr>
          <w:b/>
          <w:u w:val="single"/>
          <w:lang w:val="es-AR" w:eastAsia="es-AR" w:bidi="es-AR"/>
        </w:rPr>
      </w:pPr>
      <w:r>
        <w:rPr>
          <w:b/>
          <w:lang w:val="es-AR" w:eastAsia="es-AR" w:bidi="es-AR"/>
        </w:rPr>
        <w:t xml:space="preserve">S E N T E N C I A</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I) Confirmar el punto 2) de la sentencia apelada en cuanto rechaza la demanda dirigida contra la Sra. M. L. E..</w:t>
      </w:r>
    </w:p>
    <w:p>
      <w:pPr>
        <w:pStyle w:val="[Normal]"/>
        <w:spacing w:line="360" w:lineRule="auto"/>
        <w:ind w:firstLine="1134"/>
        <w:jc w:val="both"/>
        <w:rPr>
          <w:lang w:val="es-AR" w:eastAsia="es-AR" w:bidi="es-AR"/>
        </w:rPr>
      </w:pPr>
      <w:r>
        <w:rPr>
          <w:lang w:val="es-AR" w:eastAsia="es-AR" w:bidi="es-AR"/>
        </w:rPr>
        <w:t xml:space="preserve">II) Hacer lugar parcialmente al recurso de apelación y modificar el punto 1) de la sentencia recurrida, elevando la cuota alimentaria mensual a cargo del Sr. A. E. M. a favor de su hijo G.M. a la suma de pesos trescientos mil ($300.000), manteniéndose la actualización semestral según el Índice de Canasta Básica Total del INDEC y las demás prestaciones en especie allí fijadas (obra social y 50% de matrícula y cuota escolar).</w:t>
      </w:r>
    </w:p>
    <w:p>
      <w:pPr>
        <w:pStyle w:val="[Normal]"/>
        <w:spacing w:line="360" w:lineRule="auto"/>
        <w:ind w:firstLine="1134"/>
        <w:jc w:val="both"/>
        <w:rPr>
          <w:lang w:val="es-AR" w:eastAsia="es-AR" w:bidi="es-AR"/>
        </w:rPr>
      </w:pPr>
      <w:r>
        <w:rPr>
          <w:lang w:val="es-AR" w:eastAsia="es-AR" w:bidi="es-AR"/>
        </w:rPr>
        <w:t xml:space="preserve">III) Hacer lugar parcialmente al agravio referido a los gastos extraordinarios, incluyendo en dicho rubro, a cargo del demandado en un 50%, el abono del club deportivo al que concurre el joven, previa acreditación documental de su monto.</w:t>
      </w:r>
    </w:p>
    <w:p>
      <w:pPr>
        <w:pStyle w:val="[Normal]"/>
        <w:spacing w:line="360" w:lineRule="auto"/>
        <w:ind w:firstLine="1134"/>
        <w:jc w:val="both"/>
        <w:rPr>
          <w:lang w:val="es-AR" w:eastAsia="es-AR" w:bidi="es-AR"/>
        </w:rPr>
      </w:pPr>
      <w:r>
        <w:rPr>
          <w:lang w:val="es-AR" w:eastAsia="es-AR" w:bidi="es-AR"/>
        </w:rPr>
        <w:t xml:space="preserve">IV) Rechazar los agravios relativos a la carga probatoria para accionar contra la abuela paterna, a la valoración del expediente de ejecución de alimentos y a la fecha fijada para el devengamiento de la cuota, confirmando la sentencia apelada en dichos aspectos.</w:t>
      </w:r>
    </w:p>
    <w:p>
      <w:pPr>
        <w:pStyle w:val="[Normal]"/>
        <w:spacing w:line="360" w:lineRule="auto"/>
        <w:ind w:firstLine="1134"/>
        <w:jc w:val="both"/>
        <w:rPr>
          <w:lang w:val="es-AR" w:eastAsia="es-AR" w:bidi="es-AR"/>
        </w:rPr>
      </w:pPr>
      <w:r>
        <w:rPr>
          <w:lang w:val="es-AR" w:eastAsia="es-AR" w:bidi="es-AR"/>
        </w:rPr>
        <w:t xml:space="preserve">V) Distribuir las costas del modo indicado en los considerandos del presente.</w:t>
      </w:r>
    </w:p>
    <w:p>
      <w:pPr>
        <w:pStyle w:val="[Normal]"/>
        <w:spacing w:line="360" w:lineRule="auto"/>
        <w:ind w:firstLine="1134"/>
        <w:jc w:val="both"/>
        <w:rPr>
          <w:lang w:val="es-AR" w:eastAsia="es-AR" w:bidi="es-AR"/>
        </w:rPr>
      </w:pPr>
      <w:r>
        <w:rPr>
          <w:lang w:val="es-AR" w:eastAsia="es-AR" w:bidi="es-AR"/>
        </w:rPr>
        <w:t xml:space="preserve">VI) Diferir la regulación de honorarios de Alzada para la oportunidad procesal correspondiente (art. 39  ley 14.967).-</w:t>
      </w:r>
    </w:p>
    <w:p>
      <w:pPr>
        <w:pStyle w:val="[Normal]"/>
        <w:spacing w:line="360" w:lineRule="auto"/>
        <w:ind w:firstLine="1134"/>
        <w:jc w:val="both"/>
        <w:rPr>
          <w:color w:val="000000"/>
          <w:lang w:val="es-AR" w:eastAsia="es-AR" w:bidi="es-AR"/>
        </w:rPr>
      </w:pPr>
      <w:r>
        <w:rPr>
          <w:lang w:val="es-AR" w:eastAsia="es-AR" w:bidi="es-AR"/>
        </w:rPr>
        <w:t xml:space="preserve">Regístrese. Notifíquese por Secretaría (Ac. 4013 SCBA) remitiéndose copia digital de la presente sentencia a los domicilios electrónicos de las respectivas partes. Devuélvase.-</w:t>
      </w:r>
    </w:p>
    <w:p>
      <w:pPr>
        <w:pStyle w:val="[Normal]"/>
        <w:spacing w:line="480" w:lineRule="auto"/>
        <w:ind w:firstLine="1134"/>
        <w:jc w:val="both"/>
        <w:rPr>
          <w:color w:val="000000"/>
          <w:lang w:val="es-AR" w:eastAsia="es-AR" w:bidi="es-AR"/>
        </w:rPr>
      </w:pPr>
      <w:r>
        <w:rPr>
          <w:color w:val="000000"/>
          <w:lang w:val="es-AR" w:eastAsia="es-AR" w:bidi="es-AR"/>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REFERENCIAS: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Domicilio Electrónico: 27221056030@NOTIFICACIONES.SCBA.GOV.AR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Domicilio Electrónico: 20280603318@NOTIFICACIONES.SCBA.GOV.AR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Domicilio Electrónico: 23061796584@NOTIFICACIONES.SCBA.GOV.AR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06/08/2026 10:53:40 - SCARAFFIA Graciela Hilda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06/08/2026 10:54:08 - DEGLEUE Roberto Manuel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06/08/2026 13:36:48 - PELUSA Juan Cruz - AUXILIAR LETRADO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336" w:after="336"/>
        <w:rPr>
          <w:rFonts w:ascii="BarCode 128" w:hAnsi="BarCode 128" w:eastAsia="BarCode 128" w:cs="BarCode 128"/>
          <w:sz w:val="60"/>
          <w:lang w:val="es-AR" w:eastAsia="es-AR" w:bidi="es-AR"/>
        </w:rPr>
      </w:pPr>
      <w:r>
        <w:rPr>
          <w:rFonts w:ascii="BarCode 128" w:hAnsi="BarCode 128" w:eastAsia="BarCode 128" w:cs="BarCode 128"/>
          <w:sz w:val="60"/>
          <w:lang w:val="es-AR" w:eastAsia="es-AR" w:bidi="es-AR"/>
        </w:rPr>
        <w:t xml:space="preserve">‰9%")è&amp;ƒZBAŠ</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sz w:val="20"/>
          <w:lang w:val="es-AR" w:eastAsia="es-AR" w:bidi="es-AR"/>
        </w:rPr>
      </w:pPr>
      <w:r>
        <w:rPr>
          <w:sz w:val="20"/>
          <w:lang w:val="es-AR" w:eastAsia="es-AR" w:bidi="es-AR"/>
        </w:rPr>
        <w:t xml:space="preserve">250502090006995834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lang w:val="es-AR" w:eastAsia="es-AR" w:bidi="es-AR"/>
        </w:rPr>
        <w:t xml:space="preserve">CAMARA DE APELACION EN LO CIVIL Y COMERCIAL PERGAMINO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NO CONTIENE ARCHIVOS ADJUNTOS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Registrado en REGISTRO DE SENTENCIAS el 06/08/2026 13:37:08 hs. bajo el número RS-120-2026 por PELUSA JUAN.</w:t>
      </w:r>
    </w:p>
    <w:p>
      <w:pPr>
        <w:pStyle w:val="[Normal]"/>
        <w:rPr>
          <w:lang w:val="es-AR" w:eastAsia="es-AR" w:bidi="es-AR"/>
        </w:rPr>
      </w:pPr>
    </w:p>
    <w:sectPr>
      <w:pgSz w:w="11906" w:h="16832"/>
      <w:pgMar w:top="2835" w:right="850" w:bottom="1134" w:left="2835"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BarCode 128">
    <w:charset w:val="00"/>
    <w:family w:val="auto"/>
    <w:pitch w:val="variable"/>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5.0.323.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