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lang w:val="es-AR" w:eastAsia="es-AR" w:bidi="es-AR"/>
        </w:rPr>
        <w:t xml:space="preserve"> En la ciudad de Pergamino, reunidos en Acuerdo Ordinario los Sres. Jueces de la Excma. Cámara de Apelación en lo Civil y Comercial del Departamento Judicial Pergamino, para dictar sentencia en la causa N° </w:t>
      </w:r>
      <w:r>
        <w:rPr>
          <w:color w:val="000000"/>
          <w:lang w:val="es-AR" w:eastAsia="es-AR" w:bidi="es-AR"/>
        </w:rPr>
        <w:t xml:space="preserve">6069-26</w:t>
      </w:r>
      <w:r>
        <w:rPr>
          <w:lang w:val="es-AR" w:eastAsia="es-AR" w:bidi="es-AR"/>
        </w:rPr>
        <w:t xml:space="preserve"> caratulada </w:t>
      </w:r>
      <w:r>
        <w:rPr>
          <w:b/>
          <w:lang w:val="es-AR" w:eastAsia="es-AR" w:bidi="es-AR"/>
        </w:rPr>
        <w:t xml:space="preserve">"</w:t>
      </w:r>
      <w:r>
        <w:rPr>
          <w:b/>
          <w:color w:val="000000"/>
          <w:lang w:val="es-AR" w:eastAsia="es-AR" w:bidi="es-AR"/>
        </w:rPr>
        <w:t xml:space="preserve">SILVA DAMIÁN JESÚS C/ FESTA CARLOS ALBERTO Y OTRO/A S/ DAÑOS Y PERJ.AUTOM. C/LES. O MUERTE (EXC.ESTADO)</w:t>
      </w:r>
      <w:r>
        <w:rPr>
          <w:b/>
          <w:lang w:val="es-AR" w:eastAsia="es-AR" w:bidi="es-AR"/>
        </w:rPr>
        <w:t xml:space="preserve">"</w:t>
      </w:r>
      <w:r>
        <w:rPr>
          <w:lang w:val="es-AR" w:eastAsia="es-AR" w:bidi="es-AR"/>
        </w:rPr>
        <w:t xml:space="preserve">, Expte. </w:t>
      </w:r>
      <w:r>
        <w:rPr>
          <w:color w:val="000000"/>
          <w:lang w:val="es-AR" w:eastAsia="es-AR" w:bidi="es-AR"/>
        </w:rPr>
        <w:t xml:space="preserve">90.010</w:t>
      </w:r>
      <w:r>
        <w:rPr>
          <w:color w:val="000000"/>
          <w:lang w:val="es-AR" w:eastAsia="es-AR" w:bidi="es-AR"/>
        </w:rPr>
        <w:t xml:space="preserve"> </w:t>
      </w:r>
      <w:r>
        <w:rPr>
          <w:lang w:val="es-AR" w:eastAsia="es-AR" w:bidi="es-AR"/>
        </w:rPr>
        <w:t xml:space="preserve">del Juzgado en lo Civil y Comercial N° 2, se practicó el sorteo de ley que determinó que la votación debía efectuarse en el siguiente orden: Graciela Scaraffia y Roberto Degleue,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la señora Jueza Graciela Scaraffia dijo:</w:t>
      </w:r>
    </w:p>
    <w:p>
      <w:pPr>
        <w:pStyle w:val="[Normal]"/>
        <w:spacing w:line="360" w:lineRule="auto"/>
        <w:ind w:firstLine="1134"/>
        <w:jc w:val="both"/>
        <w:rPr>
          <w:lang w:val="es-AR" w:eastAsia="es-AR" w:bidi="es-AR"/>
        </w:rPr>
      </w:pPr>
      <w:r>
        <w:rPr>
          <w:lang w:val="es-AR" w:eastAsia="es-AR" w:bidi="es-AR"/>
        </w:rPr>
        <w:t xml:space="preserve">La Sra. Jueza de la anterior instancia </w:t>
      </w:r>
      <w:r>
        <w:rPr>
          <w:color w:val="000000"/>
          <w:lang w:val="es-AR" w:eastAsia="es-AR" w:bidi="es-AR"/>
        </w:rPr>
        <w:t xml:space="preserve">hizo lugar a la demanda instaurada por el actor de autos, condenó en consecuencia al demandado y a la citada en garantía -esta última dentro de los límites del contrato de seguro-, a abonar al primero la suma de $47.848.139,39 dentro de los diez días de notificada la presente, con más sus intereses, los que habrán calcularse en la forma dispuesta en el considerando VI. Aplicó las costas a la parte demandada y a la citada en garantía, que resultan vencidas (art. 68 C.P.C.). Difirió la regulación de honorarios de los letrados intervinientes y de los peritos, hasta que medie firme la respectiva liquidación de intereses y gastos (art. 51 ley 14.967).</w:t>
      </w:r>
    </w:p>
    <w:p>
      <w:pPr>
        <w:pStyle w:val="[Normal]"/>
        <w:spacing w:line="360" w:lineRule="auto"/>
        <w:ind w:firstLine="1134"/>
        <w:jc w:val="both"/>
        <w:rPr>
          <w:lang w:val="es-AR" w:eastAsia="es-AR" w:bidi="es-AR"/>
        </w:rPr>
      </w:pPr>
      <w:r>
        <w:rPr>
          <w:lang w:val="es-AR" w:eastAsia="es-AR" w:bidi="es-AR"/>
        </w:rPr>
        <w:t xml:space="preserve">Tal decisorio fue objeto del recurso de apelación interpuesto el 20-4-2026 por el apoderado de la citada en garantía, concedido el 21-4-2026 libremente y con efecto suspensivo.</w:t>
      </w:r>
    </w:p>
    <w:p>
      <w:pPr>
        <w:pStyle w:val="[Normal]"/>
        <w:spacing w:line="360" w:lineRule="auto"/>
        <w:ind w:firstLine="1134"/>
        <w:jc w:val="both"/>
        <w:rPr>
          <w:lang w:val="es-AR" w:eastAsia="es-AR" w:bidi="es-AR"/>
        </w:rPr>
      </w:pPr>
      <w:r>
        <w:rPr>
          <w:lang w:val="es-AR" w:eastAsia="es-AR" w:bidi="es-AR"/>
        </w:rPr>
        <w:t xml:space="preserve">Elevados los autos a esta Alzada con fecha 7-5-2026 se ordeno expresar agravios a la parte demandada y citada en garantía, el 14-5-2026 fueron fundados. El 19-5-2026 traslado de los mismo a la parte actora, quien el 22-5-2026 los evacuó. Con fecha 28-5-2026 llamamiento de autos, providencia, que firme a la fecha deja la causa en condiciones de ser fallada.-</w:t>
      </w:r>
    </w:p>
    <w:p>
      <w:pPr>
        <w:pStyle w:val="[Normal]"/>
        <w:spacing w:line="360" w:lineRule="auto"/>
        <w:ind w:firstLine="1134"/>
        <w:jc w:val="both"/>
        <w:rPr>
          <w:lang w:val="es-AR" w:eastAsia="es-AR" w:bidi="es-AR"/>
        </w:rPr>
      </w:pPr>
      <w:r>
        <w:rPr>
          <w:lang w:val="es-AR" w:eastAsia="es-AR" w:bidi="es-AR"/>
        </w:rPr>
        <w:t xml:space="preserve">1) Antecedentes: El siniestro de tránsito que motivó la presente acción tuvo lugar el día 24 de junio de 2024, aproximadamente a las 12:30 horas, en la intersección de las calles Fragata Sarmiento y Anita Bartoli de la ciudad de Pergamino. En esa oportunidad, el actor Damián Jesús Silva conducía una motocicleta Corven 107 CM3 (patente A071ITK) por calle Fragata Sarmiento en dirección oeste-este, cuando el automóvil Volkswagen Gol (dominio GKV804) conducido por el demandado Carlos Alberto Festa -que circulaba por calle Anita Bartoli en dirección norte-sur- ingresó a la encrucijada sin respetar la prioridad de paso del vehículo que se le presentaba por la derecha, embistiendo a la motocicleta con su sector frontal. A raíz del impacto, el actor fue proyectado sobre el capó del automóvil y luego cayó sobre la calzada, golpeando su espalda y sufriendo un fuerte latigazo cervical. Como consecuencia del evento dañoso, el actor fue trasladado por el SAME al Hospital local, donde se descartaron fracturas mediante estudios radiológicos y fue dado de alta con indicación de continuar la recuperación en su domicilio.</w:t>
      </w:r>
    </w:p>
    <w:p>
      <w:pPr>
        <w:pStyle w:val="[Normal]"/>
        <w:spacing w:line="360" w:lineRule="auto"/>
        <w:ind w:firstLine="1134"/>
        <w:jc w:val="both"/>
        <w:rPr>
          <w:lang w:val="es-AR" w:eastAsia="es-AR" w:bidi="es-AR"/>
        </w:rPr>
      </w:pPr>
      <w:r>
        <w:rPr>
          <w:lang w:val="es-AR" w:eastAsia="es-AR" w:bidi="es-AR"/>
        </w:rPr>
        <w:t xml:space="preserve">2) La sentencia de primera instancia tuvo por acreditada la responsabilidad del demandado, en tanto éste infringió la regla de prioridad de paso del vehículo que circula por la derecha -norma de carácter objetivo consagrada en el art. 41 de la Ley Nacional de Tránsito Nº 24.449 y en el art. 1 de la Ley Provincial Nº 13.927-, siendo el automóvil Volkswagen el embistente físico-mecánico según la pericia accidentológica rendida en autos. Condenó al demandado y a la citada en garantía -dentro de los límites del contrato de seguro- al pago de: (a) $ 37.386.699,39 en concepto de incapacidad sobreviniente; (b) $ 9.000.000 por daño moral; (c) $ 300.000 en concepto de gastos médicos, farmacéuticos y de traslado; y (d) $1.161.440 por daños materiales en la motocicleta. Todo con más intereses y costas.</w:t>
      </w:r>
    </w:p>
    <w:p>
      <w:pPr>
        <w:pStyle w:val="[Normal]"/>
        <w:spacing w:line="360" w:lineRule="auto"/>
        <w:ind w:firstLine="1134"/>
        <w:jc w:val="both"/>
        <w:rPr>
          <w:lang w:val="es-AR" w:eastAsia="es-AR" w:bidi="es-AR"/>
        </w:rPr>
      </w:pPr>
      <w:r>
        <w:rPr>
          <w:lang w:val="es-AR" w:eastAsia="es-AR" w:bidi="es-AR"/>
        </w:rPr>
        <w:t xml:space="preserve">3) Contra ese pronunciamiento se alzó la citada en garantía, quien expresó agravios en dos puntos: (a) Cuantificación excesiva de la incapacidad sobreviniente, cuestionando la utilización del salario del CCT 130/75 (empleados de comercio) como base de cálculo, b) Indica que la reducción del 30% aplicada por el perito podría incluso resultar insuficiente en tanto el experto reconoció la existencia de una patología preexistente de poca cuantía, c) Cuantificación excesiva del daño moral, por considerar que la suma de $ 9.000.000 carece de fundamentación suficiente y no guarda proporción con las circunstancias del caso, destacando que el actor no fue hospitalizado ni intervenido quirúrgicamente, que no se acreditaron secuelas psicológicas y que la incapacidad es parcial.</w:t>
      </w:r>
    </w:p>
    <w:p>
      <w:pPr>
        <w:pStyle w:val="[Normal]"/>
        <w:spacing w:line="360" w:lineRule="auto"/>
        <w:ind w:firstLine="1134"/>
        <w:jc w:val="both"/>
        <w:rPr>
          <w:lang w:val="es-AR" w:eastAsia="es-AR" w:bidi="es-AR"/>
        </w:rPr>
      </w:pPr>
      <w:r>
        <w:rPr>
          <w:lang w:val="es-AR" w:eastAsia="es-AR" w:bidi="es-AR"/>
        </w:rPr>
        <w:t xml:space="preserve">4) La parte actora contestó el traslado solicitando la confirmación del fallo con expresa imposición de costas.</w:t>
      </w:r>
    </w:p>
    <w:p>
      <w:pPr>
        <w:pStyle w:val="[Normal]"/>
        <w:spacing w:line="360" w:lineRule="auto"/>
        <w:ind w:firstLine="1134"/>
        <w:jc w:val="both"/>
        <w:rPr>
          <w:lang w:val="es-AR" w:eastAsia="es-AR" w:bidi="es-AR"/>
        </w:rPr>
      </w:pPr>
      <w:r>
        <w:rPr>
          <w:lang w:val="es-AR" w:eastAsia="es-AR" w:bidi="es-AR"/>
        </w:rPr>
        <w:t xml:space="preserve">En forma previa corresponde señalar que la responsabilidad del demandado en la producción del siniestro ha quedado firme, en tanto la apelante no cuestionó ese aspecto del decisorio y expresamente reconoció en su escrito de agravios que la existencia del hecho y la participación del vehículo asegurado se encuentran debidamente acreditadas. El embate recursivo queda así circunscripto exclusivamente a la cuantificación de los rubros indemnizatorios de incapacidad sobreviniente y daño moral.</w:t>
      </w:r>
    </w:p>
    <w:p>
      <w:pPr>
        <w:pStyle w:val="[Normal]"/>
        <w:spacing w:line="360" w:lineRule="auto"/>
        <w:ind w:firstLine="1134"/>
        <w:jc w:val="both"/>
        <w:rPr>
          <w:lang w:val="es-AR" w:eastAsia="es-AR" w:bidi="es-AR"/>
        </w:rPr>
      </w:pPr>
      <w:r>
        <w:rPr>
          <w:lang w:val="es-AR" w:eastAsia="es-AR" w:bidi="es-AR"/>
        </w:rPr>
        <w:t xml:space="preserve">Respecto de la incapacidad sobreviniente he de señalar: </w:t>
      </w:r>
    </w:p>
    <w:p>
      <w:pPr>
        <w:pStyle w:val="[Normal]"/>
        <w:spacing w:line="360" w:lineRule="auto"/>
        <w:ind w:firstLine="1134"/>
        <w:jc w:val="both"/>
        <w:rPr>
          <w:lang w:val="es-AR" w:eastAsia="es-AR" w:bidi="es-AR"/>
        </w:rPr>
      </w:pPr>
      <w:r>
        <w:rPr>
          <w:lang w:val="es-AR" w:eastAsia="es-AR" w:bidi="es-AR"/>
        </w:rPr>
        <w:t xml:space="preserve">a) Salario base utilizado para el cálculo:</w:t>
      </w:r>
    </w:p>
    <w:p>
      <w:pPr>
        <w:pStyle w:val="[Normal]"/>
        <w:spacing w:line="360" w:lineRule="auto"/>
        <w:ind w:firstLine="1134"/>
        <w:jc w:val="both"/>
        <w:rPr>
          <w:lang w:val="es-AR" w:eastAsia="es-AR" w:bidi="es-AR"/>
        </w:rPr>
      </w:pPr>
      <w:r>
        <w:rPr>
          <w:lang w:val="es-AR" w:eastAsia="es-AR" w:bidi="es-AR"/>
        </w:rPr>
        <w:t xml:space="preserve">Sostiene la apelante que resultó arbitraria la utilización del salario básico del CCT 130/75 (empleados de comercio) como parámetro de ingresos del actor, en tanto éste reviste el carácter de monotributista categoría "C" y director de una sociedad anónima, actividades que -a su criterio- no autorizan presumir ingresos equivalentes al máximo de la escala del CCT.</w:t>
      </w:r>
    </w:p>
    <w:p>
      <w:pPr>
        <w:pStyle w:val="[Normal]"/>
        <w:spacing w:line="360" w:lineRule="auto"/>
        <w:ind w:firstLine="1134"/>
        <w:jc w:val="both"/>
        <w:rPr>
          <w:lang w:val="es-AR" w:eastAsia="es-AR" w:bidi="es-AR"/>
        </w:rPr>
      </w:pPr>
      <w:r>
        <w:rPr>
          <w:lang w:val="es-AR" w:eastAsia="es-AR" w:bidi="es-AR"/>
        </w:rPr>
        <w:t xml:space="preserve">El agravio no puede prosperar.</w:t>
      </w:r>
    </w:p>
    <w:p>
      <w:pPr>
        <w:pStyle w:val="[Normal]"/>
        <w:spacing w:line="360" w:lineRule="auto"/>
        <w:ind w:firstLine="1134"/>
        <w:jc w:val="both"/>
        <w:rPr>
          <w:lang w:val="es-AR" w:eastAsia="es-AR" w:bidi="es-AR"/>
        </w:rPr>
      </w:pPr>
      <w:r>
        <w:rPr>
          <w:lang w:val="es-AR" w:eastAsia="es-AR" w:bidi="es-AR"/>
        </w:rPr>
        <w:t xml:space="preserve">En primer lugar, es doctrina reiterada de esta Alzada que cuando el damnificado carece de recibo de haberes o comprobante fehaciente de ingresos, el juzgador se encuentra habilitado para recurrir a parámetros referenciales objetivos a fin de cuantificar la incapacidad sobreviniente, sin que ello importe arbitrariedad alguna. El uso del salario del CCT aplicable es uno de los mecanismos más frecuentes y razonables en la jurisprudencia de la Provincia de Buenos Aires a tal efecto (conf. SCBA, Ac. 81.253, entre otros).</w:t>
      </w:r>
    </w:p>
    <w:p>
      <w:pPr>
        <w:pStyle w:val="[Normal]"/>
        <w:spacing w:line="360" w:lineRule="auto"/>
        <w:ind w:firstLine="1134"/>
        <w:jc w:val="both"/>
        <w:rPr>
          <w:lang w:val="es-AR" w:eastAsia="es-AR" w:bidi="es-AR"/>
        </w:rPr>
      </w:pPr>
      <w:r>
        <w:rPr>
          <w:lang w:val="es-AR" w:eastAsia="es-AR" w:bidi="es-AR"/>
        </w:rPr>
        <w:t xml:space="preserve">En segundo lugar, y contrariamente a lo que sostiene la recurrente, la propia sentenciante no tomó el máximo teórico del CCT sino la categoría de vendedor a jornada completa, sin computar adicionales por antigüedad ni otros complementos convencionales, lo que resulta una base prudente y razonable. Es más: la apelante, al reconocer que el actor es titular del 30% del paquete accionario de Credinegocios Moscasil S.A., sociedad con más de doce años de actividad en el mercado crediticio, y que cumple funciones de atención al público en jornada completa además de su tarea como director, brinda argumentos que refuerzan (antes que debilitan) la razonabilidad del parámetro elegido. El sentido común más elemental indica que quien es socio-director de una empresa en funcionamiento y cumple jornada completa percibe ingresos que no son inferiores a los de un trabajador dependiente de comercio.</w:t>
      </w:r>
    </w:p>
    <w:p>
      <w:pPr>
        <w:pStyle w:val="[Normal]"/>
        <w:spacing w:line="360" w:lineRule="auto"/>
        <w:ind w:firstLine="1134"/>
        <w:jc w:val="both"/>
        <w:rPr>
          <w:lang w:val="es-AR" w:eastAsia="es-AR" w:bidi="es-AR"/>
        </w:rPr>
      </w:pPr>
      <w:r>
        <w:rPr>
          <w:lang w:val="es-AR" w:eastAsia="es-AR" w:bidi="es-AR"/>
        </w:rPr>
        <w:t xml:space="preserve">En tercer lugar, la recurrente incurre en una contradicción insalvable: cuestiona el uso del salario CCT como parámetro pero no ofrece ni propone un parámetro alternativo concreto, limitándose a señalar que la inscripción en la categoría C del monotributo podría corresponder a ingresos sustancialmente menores. Esa afirmación dogmática, desprovista de respaldo probatorio, no alcanza para configurar el agravio concreto y razonado que exige el art. 260 del CPCC.</w:t>
      </w:r>
    </w:p>
    <w:p>
      <w:pPr>
        <w:pStyle w:val="[Normal]"/>
        <w:spacing w:line="360" w:lineRule="auto"/>
        <w:ind w:firstLine="1134"/>
        <w:jc w:val="both"/>
        <w:rPr>
          <w:lang w:val="es-AR" w:eastAsia="es-AR" w:bidi="es-AR"/>
        </w:rPr>
      </w:pPr>
      <w:r>
        <w:rPr>
          <w:lang w:val="es-AR" w:eastAsia="es-AR" w:bidi="es-AR"/>
        </w:rPr>
        <w:t xml:space="preserve">La carga de la prueba de los ingresos recae sobre el actor, es cierto; pero cuando éste, como en el caso, acredita una actividad económica efectiva, continuada y pluriactividad (director societario y atención al público), la ausencia de recibos habilita -y en muchos casos obliga- al juzgador a construir un estándar razonable de ingreso sobre la base de los elementos disponibles en la causa. Hacer recaer íntegramente sobre la víctima los efectos de la falta de documentación formal -situación harto frecuente en la economía informal argentina- implicaría consagrar un resultado inequitativo reñido con el principio de reparación integral (art. 1740 CCCN). Por lo que propongo la desestimación de este agravio.</w:t>
      </w:r>
    </w:p>
    <w:p>
      <w:pPr>
        <w:pStyle w:val="[Normal]"/>
        <w:spacing w:line="360" w:lineRule="auto"/>
        <w:ind w:firstLine="1134"/>
        <w:jc w:val="both"/>
        <w:rPr>
          <w:lang w:val="es-AR" w:eastAsia="es-AR" w:bidi="es-AR"/>
        </w:rPr>
      </w:pPr>
      <w:r>
        <w:rPr>
          <w:lang w:val="es-AR" w:eastAsia="es-AR" w:bidi="es-AR"/>
        </w:rPr>
        <w:t xml:space="preserve">b) Porcentaje de incapacidad y reducción por preexistencias: </w:t>
      </w:r>
    </w:p>
    <w:p>
      <w:pPr>
        <w:pStyle w:val="[Normal]"/>
        <w:spacing w:line="360" w:lineRule="auto"/>
        <w:ind w:firstLine="1134"/>
        <w:jc w:val="both"/>
        <w:rPr>
          <w:lang w:val="es-AR" w:eastAsia="es-AR" w:bidi="es-AR"/>
        </w:rPr>
      </w:pPr>
      <w:r>
        <w:rPr>
          <w:lang w:val="es-AR" w:eastAsia="es-AR" w:bidi="es-AR"/>
        </w:rPr>
        <w:t xml:space="preserve">La recurrente no impugna el porcentaje de incapacidad total del 20,8% determinado por el perito médico, pero sostiene que la reducción del 30% aplicada por el experto en razón de las patologías preexistentes podría resultar insuficiente.</w:t>
      </w:r>
    </w:p>
    <w:p>
      <w:pPr>
        <w:pStyle w:val="[Normal]"/>
        <w:spacing w:line="360" w:lineRule="auto"/>
        <w:ind w:firstLine="1134"/>
        <w:jc w:val="both"/>
        <w:rPr>
          <w:lang w:val="es-AR" w:eastAsia="es-AR" w:bidi="es-AR"/>
        </w:rPr>
      </w:pPr>
      <w:r>
        <w:rPr>
          <w:lang w:val="es-AR" w:eastAsia="es-AR" w:bidi="es-AR"/>
        </w:rPr>
        <w:t xml:space="preserve">Este planteo no puede ser atendido por esta Alzada.</w:t>
      </w:r>
    </w:p>
    <w:p>
      <w:pPr>
        <w:pStyle w:val="[Normal]"/>
        <w:spacing w:line="360" w:lineRule="auto"/>
        <w:ind w:firstLine="1134"/>
        <w:jc w:val="both"/>
        <w:rPr>
          <w:lang w:val="es-AR" w:eastAsia="es-AR" w:bidi="es-AR"/>
        </w:rPr>
      </w:pPr>
      <w:r>
        <w:rPr>
          <w:lang w:val="es-AR" w:eastAsia="es-AR" w:bidi="es-AR"/>
        </w:rPr>
        <w:t xml:space="preserve">Rige aquí el principio de preclusión procesal, que veda la reapertura del debate en la instancia de apelación sobre cuestiones que fueron consentidas en la instancia de origen. La citada en garantía no impugnó el dictamen pericial médico del Dr. Juan Lolo durante el período probatorio de primera instancia, ni formuló observaciones, pedido de explicaciones ni impugnación alguna al porcentaje de incapacidad ni a la metodología de reducción por preexistencias empleada. Habiendo consentido íntegramente el dictamen, pretender ahora que la reducción por preexistencias debería ser mayor importa una conducta procesal contraria a los propios actos (venire contra factum proprium) que el ordenamiento no puede tolerar (arts. 34, inc. 5°, ap. d; 163 y ccds. del CPCC).</w:t>
      </w:r>
    </w:p>
    <w:p>
      <w:pPr>
        <w:pStyle w:val="[Normal]"/>
        <w:spacing w:line="360" w:lineRule="auto"/>
        <w:ind w:firstLine="1134"/>
        <w:jc w:val="both"/>
        <w:rPr>
          <w:lang w:val="es-AR" w:eastAsia="es-AR" w:bidi="es-AR"/>
        </w:rPr>
      </w:pPr>
      <w:r>
        <w:rPr>
          <w:lang w:val="es-AR" w:eastAsia="es-AR" w:bidi="es-AR"/>
        </w:rPr>
        <w:t xml:space="preserve">A mayor abundamiento, cabe señalar que la reducción del 30% ya aplicada por el perito resulta en sí misma generosa para la demandada, en tanto el especialista calificó expresamente las preexistencias como "de poca cuantía". La conducta de la aseguradora de no cuestionar esa reducción en primera instancia corrobora que la consideró razonable y suficiente.</w:t>
      </w:r>
    </w:p>
    <w:p>
      <w:pPr>
        <w:pStyle w:val="[Normal]"/>
        <w:spacing w:line="360" w:lineRule="auto"/>
        <w:ind w:firstLine="1134"/>
        <w:jc w:val="both"/>
        <w:rPr>
          <w:lang w:val="es-AR" w:eastAsia="es-AR" w:bidi="es-AR"/>
        </w:rPr>
      </w:pPr>
      <w:r>
        <w:rPr>
          <w:lang w:val="es-AR" w:eastAsia="es-AR" w:bidi="es-AR"/>
        </w:rPr>
        <w:t xml:space="preserve">c) Cuantificación por punto de incapacidad y aplicación de la fórmula: </w:t>
      </w:r>
    </w:p>
    <w:p>
      <w:pPr>
        <w:pStyle w:val="[Normal]"/>
        <w:spacing w:line="360" w:lineRule="auto"/>
        <w:ind w:firstLine="1134"/>
        <w:jc w:val="both"/>
        <w:rPr>
          <w:lang w:val="es-AR" w:eastAsia="es-AR" w:bidi="es-AR"/>
        </w:rPr>
      </w:pPr>
      <w:r>
        <w:rPr>
          <w:lang w:val="es-AR" w:eastAsia="es-AR" w:bidi="es-AR"/>
        </w:rPr>
        <w:t xml:space="preserve">Aduce la citada en garantía que el valor resultante por punto de incapacidad (aproximadamente $ 2.566.388) sería notoriamente elevado respecto de los parámetros jurisprudenciales de este Departamento y departamentos vecinos. El agravio tampoco puede prosperar.</w:t>
      </w:r>
    </w:p>
    <w:p>
      <w:pPr>
        <w:pStyle w:val="[Normal]"/>
        <w:spacing w:line="360" w:lineRule="auto"/>
        <w:ind w:firstLine="1134"/>
        <w:jc w:val="both"/>
        <w:rPr>
          <w:lang w:val="es-AR" w:eastAsia="es-AR" w:bidi="es-AR"/>
        </w:rPr>
      </w:pPr>
      <w:r>
        <w:rPr>
          <w:lang w:val="es-AR" w:eastAsia="es-AR" w:bidi="es-AR"/>
        </w:rPr>
        <w:t xml:space="preserve">La sentenciante aplicó la fórmula matemática de renta constante no perpetua -conocida como fórmula "Aciarri"-, que es el instrumento de cálculo ampliamente adoptado por la jurisprudencia provincial para la cuantificación de la incapacidad sobreviniente, en tanto garantiza los principios de objetividad, transparencia y reparación integral (arts. 1737, 1740 y 1746 del CCCN). Dicha fórmula no opera asignando discrecionalmente un valor en pesos a cada punto de incapacidad, sino que -sobre la base del salario, la incapacidad, la edad del damnificado y una tasa de descuento- determina el capital necesario para generar una renta que compense la disminución de la capacidad laborativa hasta la expectativa de vida activa. Se trata de una operación matemática cuyo resultado no es libremente modificable sin alterar alguna de sus variables.</w:t>
      </w:r>
    </w:p>
    <w:p>
      <w:pPr>
        <w:pStyle w:val="[Normal]"/>
        <w:spacing w:line="360" w:lineRule="auto"/>
        <w:ind w:firstLine="1134"/>
        <w:jc w:val="both"/>
        <w:rPr>
          <w:lang w:val="es-AR" w:eastAsia="es-AR" w:bidi="es-AR"/>
        </w:rPr>
      </w:pPr>
      <w:r>
        <w:rPr>
          <w:lang w:val="es-AR" w:eastAsia="es-AR" w:bidi="es-AR"/>
        </w:rPr>
        <w:t xml:space="preserve">La recurrente no demuestra error aritmético alguno en la aplicación de la fórmula, ni señala cuál sería el dato de entrada incorrecto -más allá de los cuestionamientos ya rechazados sobre el salario base y el porcentaje de incapacidad-. La sola mención de que otras sentencias habrían fijado valores "sensiblemente menores" sin identificar esos precedentes ni los parámetros utilizados en ellos no constituye una crítica concreta y razonada del pronunciamiento apelado en los términos del art. 260 del CPCC. Por lo demás, la comparación entre sentencias exige uniformidad de variables (edad, ingreso, porcentaje de incapacidad, tasa de descuento), sin la cual resulta un ejercicio estéril.</w:t>
      </w:r>
    </w:p>
    <w:p>
      <w:pPr>
        <w:pStyle w:val="[Normal]"/>
        <w:spacing w:line="360" w:lineRule="auto"/>
        <w:ind w:firstLine="1134"/>
        <w:jc w:val="both"/>
        <w:rPr>
          <w:lang w:val="es-AR" w:eastAsia="es-AR" w:bidi="es-AR"/>
        </w:rPr>
      </w:pPr>
      <w:r>
        <w:rPr>
          <w:lang w:val="es-AR" w:eastAsia="es-AR" w:bidi="es-AR"/>
        </w:rPr>
        <w:t xml:space="preserve">En consecuencia, habiéndose verificado que la sentenciante aplicó  la fórmula Aciarri con los parámetros razonablemente acreditados en autos (edad 36 años al momento del siniestro, salario base CCT comercio vendedor abril 2026 de $ 1.163.000, incapacidad del 14,56%), corresponde confirmar la indemnización fijada por incapacidad sobreviniente en la suma de $ 37.386.699,39.</w:t>
      </w:r>
    </w:p>
    <w:p>
      <w:pPr>
        <w:pStyle w:val="[Normal]"/>
        <w:spacing w:line="360" w:lineRule="auto"/>
        <w:ind w:firstLine="1134"/>
        <w:jc w:val="both"/>
        <w:rPr>
          <w:lang w:val="es-AR" w:eastAsia="es-AR" w:bidi="es-AR"/>
        </w:rPr>
      </w:pPr>
      <w:r>
        <w:rPr>
          <w:lang w:val="es-AR" w:eastAsia="es-AR" w:bidi="es-AR"/>
        </w:rPr>
        <w:t xml:space="preserve">Respecto del daño moral la apelante cuestiona la suma de $ 9.000.000 fijada para este rubro aduciendo: (a) insuficiencia de fundamentación del fallo; (b) ausencia de internación y de intervención quirúrgica; (c) incidencia del 30% de las preexistencias; (d) falta de pericia psicológica; y (e) incapacidad parcial que no compromete severamente la vida de relación.</w:t>
      </w:r>
    </w:p>
    <w:p>
      <w:pPr>
        <w:pStyle w:val="[Normal]"/>
        <w:spacing w:line="360" w:lineRule="auto"/>
        <w:ind w:firstLine="1134"/>
        <w:jc w:val="both"/>
        <w:rPr>
          <w:lang w:val="es-AR" w:eastAsia="es-AR" w:bidi="es-AR"/>
        </w:rPr>
      </w:pPr>
      <w:r>
        <w:rPr>
          <w:lang w:val="es-AR" w:eastAsia="es-AR" w:bidi="es-AR"/>
        </w:rPr>
        <w:t xml:space="preserve">El agravio tampoco puede prosperar.</w:t>
      </w:r>
    </w:p>
    <w:p>
      <w:pPr>
        <w:pStyle w:val="[Normal]"/>
        <w:spacing w:line="360" w:lineRule="auto"/>
        <w:ind w:firstLine="1134"/>
        <w:jc w:val="both"/>
        <w:rPr>
          <w:lang w:val="es-AR" w:eastAsia="es-AR" w:bidi="es-AR"/>
        </w:rPr>
      </w:pPr>
      <w:r>
        <w:rPr>
          <w:lang w:val="es-AR" w:eastAsia="es-AR" w:bidi="es-AR"/>
        </w:rPr>
        <w:t xml:space="preserve">En cuanto a la supuesta falta de fundamentación, esta Alzada advierte que la sentencia explicitó los parámetros de cuantificación del daño moral con arreglo al estándar del art. 1741 del CCCN -satisfacciones sustitutivas y compensatorias- y los relacionó con las lesiones constatadas pericialmente. No exige la norma ni la doctrina que el magistrado consigne una ecuación matemática para justificar el monto del daño moral, en tanto su naturaleza esencialmente subjetiva hace que su cuantificación responda a una valoración prudencial y equitativa de las circunstancias del caso (art. 165 CPCC). El fallo cumple con el estándar de fundamentación exigible.</w:t>
      </w:r>
    </w:p>
    <w:p>
      <w:pPr>
        <w:pStyle w:val="[Normal]"/>
        <w:spacing w:line="360" w:lineRule="auto"/>
        <w:ind w:firstLine="1134"/>
        <w:jc w:val="both"/>
        <w:rPr>
          <w:lang w:val="es-AR" w:eastAsia="es-AR" w:bidi="es-AR"/>
        </w:rPr>
      </w:pPr>
      <w:r>
        <w:rPr>
          <w:lang w:val="es-AR" w:eastAsia="es-AR" w:bidi="es-AR"/>
        </w:rPr>
        <w:t xml:space="preserve">En cuanto al fondo, el daño moral extracontractual no requiere prueba específica cuando resulta de la propia naturaleza de las lesiones sufridas (daño in re ipsa). Compete a quien pretende su exclusión o reducción demostrar que el hecho no generó padecimiento espiritual alguno, extremo de prueba prácticamente diabólico.</w:t>
      </w:r>
    </w:p>
    <w:p>
      <w:pPr>
        <w:pStyle w:val="[Normal]"/>
        <w:spacing w:line="360" w:lineRule="auto"/>
        <w:ind w:firstLine="1134"/>
        <w:jc w:val="both"/>
        <w:rPr>
          <w:lang w:val="es-AR" w:eastAsia="es-AR" w:bidi="es-AR"/>
        </w:rPr>
      </w:pPr>
      <w:r>
        <w:rPr>
          <w:lang w:val="es-AR" w:eastAsia="es-AR" w:bidi="es-AR"/>
        </w:rPr>
        <w:t xml:space="preserve">El actor, hombre de 36 años al momento del siniestro, plenamente activo en su vida laboral y social, convive desde entonces con un cuadro de dolor crónico y limitación funcional que el propio perito calificó como de carácter permanente, comprensivo de lumbalgia con rigidez y cambios degenerativos discales y síndrome meniscal. El horizonte de vida del actor indica que deberá soportar esos padecimientos durante décadas. Las limitaciones físicas permanentes en una persona joven afectan inevitablemente el desenvolvimiento cotidiano, las actividades recreativas, deportivas y sociales, generando un perjuicio espiritual que excede ampliamente la mera incomodidad.</w:t>
      </w:r>
    </w:p>
    <w:p>
      <w:pPr>
        <w:pStyle w:val="[Normal]"/>
        <w:spacing w:line="360" w:lineRule="auto"/>
        <w:ind w:firstLine="1134"/>
        <w:jc w:val="both"/>
        <w:rPr>
          <w:lang w:val="es-AR" w:eastAsia="es-AR" w:bidi="es-AR"/>
        </w:rPr>
      </w:pPr>
      <w:r>
        <w:rPr>
          <w:lang w:val="es-AR" w:eastAsia="es-AR" w:bidi="es-AR"/>
        </w:rPr>
        <w:t xml:space="preserve">La ausencia de hospitalización o cirugía no reduce por sí sola la entidad del daño moral cuando, como en el caso, las lesiones generan secuelas permanentes. El daño moral no se mide por la intensidad del tratamiento médico sino por la magnitud del padecimiento subjetivo, que en casos de dolor crónico y limitación funcional permanente en personas jóvenes adquiere una dimensión particularmente significativa.</w:t>
      </w:r>
    </w:p>
    <w:p>
      <w:pPr>
        <w:pStyle w:val="[Normal]"/>
        <w:spacing w:line="360" w:lineRule="auto"/>
        <w:ind w:firstLine="1134"/>
        <w:jc w:val="both"/>
        <w:rPr>
          <w:lang w:val="es-AR" w:eastAsia="es-AR" w:bidi="es-AR"/>
        </w:rPr>
      </w:pPr>
      <w:r>
        <w:rPr>
          <w:lang w:val="es-AR" w:eastAsia="es-AR" w:bidi="es-AR"/>
        </w:rPr>
        <w:t xml:space="preserve">Tampoco es argumento atendible el que la incapacidad parcial no comprometa la vida de relación de manera severa: el 14,56% de incapacidad permanente implica que el actor ha perdido en forma definitiva una porción de su capacidad vital que no recuperará. La resignación cotidiana de esa merma constituye per se una fuente de padecimiento espiritual indemnizable.</w:t>
      </w:r>
    </w:p>
    <w:p>
      <w:pPr>
        <w:pStyle w:val="[Normal]"/>
        <w:spacing w:line="360" w:lineRule="auto"/>
        <w:ind w:firstLine="1134"/>
        <w:jc w:val="both"/>
        <w:rPr>
          <w:lang w:val="es-AR" w:eastAsia="es-AR" w:bidi="es-AR"/>
        </w:rPr>
      </w:pPr>
      <w:r>
        <w:rPr>
          <w:lang w:val="es-AR" w:eastAsia="es-AR" w:bidi="es-AR"/>
        </w:rPr>
        <w:t xml:space="preserve">En cuanto a la proporcionalidad del monto con la jurisprudencia de referencia, esta Cámara ha sostenido reiteradamente que el daño moral no es un rubro accesorio a determinar mecánicamente como proporción de la incapacidad sobreviniente: ambos rubros responden a distintas facetas del perjuicio. El daño moral atiende al sufrimiento íntimo, mientras que la incapacidad sobreviniente apunta a la merma patrimonial futura. La relación porcentual entre ambos carece de sustento normativo.</w:t>
      </w:r>
    </w:p>
    <w:p>
      <w:pPr>
        <w:pStyle w:val="[Normal]"/>
        <w:spacing w:line="360" w:lineRule="auto"/>
        <w:ind w:firstLine="1134"/>
        <w:jc w:val="both"/>
        <w:rPr>
          <w:lang w:val="es-AR" w:eastAsia="es-AR" w:bidi="es-AR"/>
        </w:rPr>
      </w:pPr>
      <w:r>
        <w:rPr>
          <w:lang w:val="es-AR" w:eastAsia="es-AR" w:bidi="es-AR"/>
        </w:rPr>
        <w:t xml:space="preserve">Finalmente, evaluando la suma de $ 9.000.000 a la luz del criterio del art. 1741 CCCN -satisfacciones sustitutivas que puede procurar ese capital- y teniendo en cuenta el contexto inflacionario y los valores actuales de bienes y servicios al momento del dictado de la sentencia de primera instancia (abril 2026), este Tribunal no la considera desproporcionada sino razonable y ajustada a las circunstancias del caso. </w:t>
      </w:r>
    </w:p>
    <w:p>
      <w:pPr>
        <w:pStyle w:val="[Normal]"/>
        <w:spacing w:line="360" w:lineRule="auto"/>
        <w:ind w:firstLine="1134"/>
        <w:jc w:val="both"/>
        <w:rPr>
          <w:lang w:val="es-AR" w:eastAsia="es-AR" w:bidi="es-AR"/>
        </w:rPr>
      </w:pPr>
      <w:r>
        <w:rPr>
          <w:lang w:val="es-AR" w:eastAsia="es-AR" w:bidi="es-AR"/>
        </w:rPr>
        <w:t xml:space="preserve">Se confirma la indemnización por daño moral en la suma de $9.000.000.</w:t>
      </w:r>
    </w:p>
    <w:p>
      <w:pPr>
        <w:pStyle w:val="[Normal]"/>
        <w:spacing w:line="360" w:lineRule="auto"/>
        <w:ind w:firstLine="1134"/>
        <w:jc w:val="both"/>
        <w:rPr>
          <w:lang w:val="es-AR" w:eastAsia="es-AR" w:bidi="es-AR"/>
        </w:rPr>
      </w:pPr>
      <w:r>
        <w:rPr>
          <w:lang w:val="es-AR" w:eastAsia="es-AR" w:bidi="es-AR"/>
        </w:rPr>
        <w:t xml:space="preserve">Las costas de esta instancia se imponen a la citada en garantía apelante, en tanto resultó vencida en la totalidad de los agravios articulados (art. 68, CPCC).</w:t>
      </w:r>
    </w:p>
    <w:p>
      <w:pPr>
        <w:pStyle w:val="[Normal]"/>
        <w:spacing w:line="360" w:lineRule="auto"/>
        <w:ind w:firstLine="1134"/>
        <w:jc w:val="both"/>
        <w:rPr>
          <w:lang w:val="es-AR" w:eastAsia="es-AR" w:bidi="es-AR"/>
        </w:rPr>
      </w:pPr>
      <w:r>
        <w:rPr>
          <w:lang w:val="es-AR" w:eastAsia="es-AR" w:bidi="es-AR"/>
        </w:rPr>
        <w:t xml:space="preserve">Los honorarios de los letrados intervinientes en esta instancia se regularán oportunamente, una vez que se practique la liquidación definitiva de capital, intereses y costas (art. 31 de la Ley 14.967).</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AFIRMATIVA.</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la señora Jueza Graciela Scaraffia dijo: De conformidad al resultado habido al tratarse la cuestión precedente, estimo que el pronunciamiento que corresponde dictar es: </w:t>
      </w:r>
    </w:p>
    <w:p>
      <w:pPr>
        <w:pStyle w:val="[Normal]"/>
        <w:spacing w:line="360" w:lineRule="auto"/>
        <w:ind w:firstLine="1134"/>
        <w:jc w:val="both"/>
        <w:rPr>
          <w:lang w:val="es-AR" w:eastAsia="es-AR" w:bidi="es-AR"/>
        </w:rPr>
      </w:pPr>
      <w:r>
        <w:rPr>
          <w:lang w:val="es-AR" w:eastAsia="es-AR" w:bidi="es-AR"/>
        </w:rPr>
        <w:t xml:space="preserve">Desestimar el recurso de apelación traído, confirmando en un todo la sentencia de primera instancia.</w:t>
      </w:r>
    </w:p>
    <w:p>
      <w:pPr>
        <w:pStyle w:val="[Normal]"/>
        <w:spacing w:line="360" w:lineRule="auto"/>
        <w:ind w:firstLine="1134"/>
        <w:jc w:val="both"/>
        <w:rPr>
          <w:lang w:val="es-AR" w:eastAsia="es-AR" w:bidi="es-AR"/>
        </w:rPr>
      </w:pPr>
      <w:r>
        <w:rPr>
          <w:lang w:val="es-AR" w:eastAsia="es-AR" w:bidi="es-AR"/>
        </w:rPr>
        <w:t xml:space="preserve">Costas a la parte apelante devinta (art. 68 del CPCC y su doctrina).</w:t>
      </w:r>
    </w:p>
    <w:p>
      <w:pPr>
        <w:pStyle w:val="[Normal]"/>
        <w:spacing w:line="360" w:lineRule="auto"/>
        <w:ind w:firstLine="1134"/>
        <w:jc w:val="both"/>
        <w:rPr>
          <w:lang w:val="es-AR" w:eastAsia="es-AR" w:bidi="es-AR"/>
        </w:rPr>
      </w:pPr>
      <w:r>
        <w:rPr>
          <w:lang w:val="es-AR" w:eastAsia="es-AR" w:bidi="es-AR"/>
        </w:rPr>
        <w:t xml:space="preserve">Diferir la regulación de honorarios de letrados y peritos hasta tanto obre liquidación firme (art. 51 ley 14.967).</w:t>
      </w:r>
    </w:p>
    <w:p>
      <w:pPr>
        <w:pStyle w:val="[Normal]"/>
        <w:spacing w:line="360" w:lineRule="auto"/>
        <w:ind w:firstLine="1134"/>
        <w:jc w:val="both"/>
        <w:rPr>
          <w:lang w:val="es-AR" w:eastAsia="es-AR" w:bidi="es-AR"/>
        </w:rPr>
      </w:pPr>
      <w:r>
        <w:rPr>
          <w:b/>
          <w:lang w:val="es-AR" w:eastAsia="es-AR" w:bidi="es-AR"/>
        </w:rPr>
        <w:t xml:space="preserve">ASI LO VOTO. </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lang w:val="es-AR" w:eastAsia="es-AR" w:bidi="es-AR"/>
        </w:rPr>
        <w:t xml:space="preserve">S E N T E N C I A</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Desestimar el recurso de apelación traído, confirmando en un todo la sentencia de primera instancia.</w:t>
      </w:r>
    </w:p>
    <w:p>
      <w:pPr>
        <w:pStyle w:val="[Normal]"/>
        <w:spacing w:line="360" w:lineRule="auto"/>
        <w:ind w:firstLine="1134"/>
        <w:jc w:val="both"/>
        <w:rPr>
          <w:lang w:val="es-AR" w:eastAsia="es-AR" w:bidi="es-AR"/>
        </w:rPr>
      </w:pPr>
      <w:r>
        <w:rPr>
          <w:lang w:val="es-AR" w:eastAsia="es-AR" w:bidi="es-AR"/>
        </w:rPr>
        <w:t xml:space="preserve">Costas a la parte apelante devinta (art. 68 del CPCC y su doctrina).</w:t>
      </w:r>
    </w:p>
    <w:p>
      <w:pPr>
        <w:pStyle w:val="[Normal]"/>
        <w:spacing w:line="360" w:lineRule="auto"/>
        <w:ind w:firstLine="1134"/>
        <w:jc w:val="both"/>
        <w:rPr>
          <w:lang w:val="es-AR" w:eastAsia="es-AR" w:bidi="es-AR"/>
        </w:rPr>
      </w:pPr>
      <w:r>
        <w:rPr>
          <w:lang w:val="es-AR" w:eastAsia="es-AR" w:bidi="es-AR"/>
        </w:rPr>
        <w:t xml:space="preserve">Diferir la regulación de honorarios de letrados y peritos hasta tanto obre liquidación firme (art. 51 ley 14.967).</w:t>
      </w:r>
    </w:p>
    <w:p>
      <w:pPr>
        <w:pStyle w:val="[Normal]"/>
        <w:spacing w:line="360" w:lineRule="auto"/>
        <w:ind w:firstLine="1134"/>
        <w:jc w:val="both"/>
        <w:rPr>
          <w:color w:val="000000"/>
          <w:lang w:val="es-AR" w:eastAsia="es-AR" w:bidi="es-AR"/>
        </w:rPr>
      </w:pPr>
      <w:r>
        <w:rPr>
          <w:lang w:val="es-AR" w:eastAsia="es-AR" w:bidi="es-AR"/>
        </w:rPr>
        <w:t xml:space="preserve">Regístrese. Notifíquese por Secretaría (Ac. 4013 SCBA) remitiéndose copia digital de la presente sentencia a los domicilios electrónicos de las respectivas partes. Devuélvase.</w:t>
      </w: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20286683372@NOTIFICACIONES.SCBA.GOV.AR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23365239649@NOTIFICACIONES.SCBA.GOV.AR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10:53:54 -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10:54:19 -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13:38:30 - PELUSA Juan Cruz - AUXILIAR LETRADO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‰8,")è&amp;Ái%zŠ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241202090006967305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06/08/2026 13:38:45 hs. bajo el número RS-121-2026 por PELUSA JUAN.</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