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b/>
          <w:color w:val="000000"/>
          <w:lang w:val="es-AR" w:eastAsia="es-AR" w:bidi="es-AR"/>
        </w:rPr>
        <w:t xml:space="preserve">6031-26</w:t>
      </w:r>
      <w:r>
        <w:rPr>
          <w:lang w:val="es-AR" w:eastAsia="es-AR" w:bidi="es-AR"/>
        </w:rPr>
        <w:t xml:space="preserve"> caratulada </w:t>
      </w:r>
      <w:r>
        <w:rPr>
          <w:b/>
          <w:lang w:val="es-AR" w:eastAsia="es-AR" w:bidi="es-AR"/>
        </w:rPr>
        <w:t xml:space="preserve">"</w:t>
      </w:r>
      <w:r>
        <w:rPr>
          <w:b/>
          <w:color w:val="000000"/>
          <w:lang w:val="es-AR" w:eastAsia="es-AR" w:bidi="es-AR"/>
        </w:rPr>
        <w:t xml:space="preserve">BASCONCELO OSVALDO MAURICIO C/ MACEIRA VICENTE S/ PRESCRIPCION ADQUISITIVA LARGA</w:t>
      </w:r>
      <w:r>
        <w:rPr>
          <w:b/>
          <w:lang w:val="es-AR" w:eastAsia="es-AR" w:bidi="es-AR"/>
        </w:rPr>
        <w:t xml:space="preserve">"</w:t>
      </w:r>
      <w:r>
        <w:rPr>
          <w:lang w:val="es-AR" w:eastAsia="es-AR" w:bidi="es-AR"/>
        </w:rPr>
        <w:t xml:space="preserve">, Expte. N° 77060</w:t>
      </w:r>
      <w:r>
        <w:rPr>
          <w:color w:val="000000"/>
          <w:lang w:val="es-AR" w:eastAsia="es-AR" w:bidi="es-AR"/>
        </w:rPr>
        <w:t xml:space="preserve"> </w:t>
      </w:r>
      <w:r>
        <w:rPr>
          <w:lang w:val="es-AR" w:eastAsia="es-AR" w:bidi="es-AR"/>
        </w:rPr>
        <w:t xml:space="preserve">del Juzgado Civil y Comercial n° 1, se practicó el sorteo de ley que determinó que la votación debía efectuarse en el siguiente orden: Roberto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Roberto Degleue dijo:</w:t>
      </w:r>
    </w:p>
    <w:p>
      <w:pPr>
        <w:pStyle w:val="[Normal]"/>
        <w:spacing w:line="360" w:lineRule="auto"/>
        <w:ind w:firstLine="1134"/>
        <w:jc w:val="both"/>
        <w:rPr>
          <w:lang w:val="es-AR" w:eastAsia="es-AR" w:bidi="es-AR"/>
        </w:rPr>
      </w:pPr>
      <w:r>
        <w:rPr>
          <w:lang w:val="es-AR" w:eastAsia="es-AR" w:bidi="es-AR"/>
        </w:rPr>
        <w:t xml:space="preserve">El señor Juez de primera instancia rechazó la demanda que por prescripción adquisitiva promoviera el Sr. Osvaldo Mauricio Basconcelo, contra el Sr. Vicente Maceira y/o quienes resulten propietarios y/o se consideren con derecho sobre el bien inmueble identificado catastralmente como: Circ. XII, Secc. A, Mza. 94, Parc. 2, partida inmobiliaria 10319, matrícula 44565 del partido de Pergamino (082). Impuso las costas a la parte actora vencida y difirió la regulación de honorarios.-</w:t>
      </w:r>
    </w:p>
    <w:p>
      <w:pPr>
        <w:pStyle w:val="[Normal]"/>
        <w:spacing w:line="360" w:lineRule="auto"/>
        <w:ind w:firstLine="1134"/>
        <w:jc w:val="both"/>
        <w:rPr>
          <w:lang w:val="es-AR" w:eastAsia="es-AR" w:bidi="es-AR"/>
        </w:rPr>
      </w:pPr>
      <w:r>
        <w:rPr>
          <w:lang w:val="es-AR" w:eastAsia="es-AR" w:bidi="es-AR"/>
        </w:rPr>
        <w:t xml:space="preserve">En disconformidad con lo resuelto, interpone recurso de apelación la parte actora el 26-3-2026, quien lo funda el 17-4-2026. Habiendo la Defensora Oficial contestado el traslado conferido el 24-4-2026.-</w:t>
      </w:r>
    </w:p>
    <w:p>
      <w:pPr>
        <w:pStyle w:val="[Normal]"/>
        <w:spacing w:line="360" w:lineRule="auto"/>
        <w:ind w:firstLine="1134"/>
        <w:jc w:val="both"/>
        <w:rPr>
          <w:lang w:val="es-AR" w:eastAsia="es-AR" w:bidi="es-AR"/>
        </w:rPr>
      </w:pPr>
      <w:r>
        <w:rPr>
          <w:lang w:val="es-AR" w:eastAsia="es-AR" w:bidi="es-AR"/>
        </w:rPr>
        <w:t xml:space="preserve">En fecha 28/4/2026 se dicta el llamamiento de autos para sentencia, providencia que, estando firme a la fecha deja la causa en condiciones de ser fallada.- </w:t>
      </w:r>
    </w:p>
    <w:p>
      <w:pPr>
        <w:pStyle w:val="[Normal]"/>
        <w:spacing w:line="360" w:lineRule="auto"/>
        <w:ind w:firstLine="1134"/>
        <w:jc w:val="both"/>
        <w:rPr>
          <w:lang w:val="es-AR" w:eastAsia="es-AR" w:bidi="es-AR"/>
        </w:rPr>
      </w:pPr>
      <w:r>
        <w:rPr>
          <w:lang w:val="es-AR" w:eastAsia="es-AR" w:bidi="es-AR"/>
        </w:rPr>
        <w:t xml:space="preserve">La parte apelante sostiene que el juez de grado incurrió en una errónea valoración de la prueba al otorgar carácter decisivo a la inspección ocular practicada el 9 de abril de 2025 para concluir que no se encontraba acreditada la posesión invocada.-</w:t>
      </w:r>
    </w:p>
    <w:p>
      <w:pPr>
        <w:pStyle w:val="[Normal]"/>
        <w:spacing w:line="360" w:lineRule="auto"/>
        <w:ind w:firstLine="1134"/>
        <w:jc w:val="both"/>
        <w:rPr>
          <w:lang w:val="es-AR" w:eastAsia="es-AR" w:bidi="es-AR"/>
        </w:rPr>
      </w:pPr>
      <w:r>
        <w:rPr>
          <w:lang w:val="es-AR" w:eastAsia="es-AR" w:bidi="es-AR"/>
        </w:rPr>
        <w:t xml:space="preserve">Señala que dicha diligencia únicamente refleja el estado del inmueble al momento de su realización, durante la sustanciación del proceso, por lo que carece de aptitud para desvirtuar una posesión que debía acreditarse a lo largo del plazo legal previsto. Afirma que la sentencia efectuó una apreciación aislada de ese elemento probatorio, relegando la valoración conjunta de la restante prueba producida, en particular la testimonial y documenta.-</w:t>
      </w:r>
    </w:p>
    <w:p>
      <w:pPr>
        <w:pStyle w:val="[Normal]"/>
        <w:spacing w:line="360" w:lineRule="auto"/>
        <w:ind w:firstLine="1134"/>
        <w:jc w:val="both"/>
        <w:rPr>
          <w:lang w:val="es-AR" w:eastAsia="es-AR" w:bidi="es-AR"/>
        </w:rPr>
      </w:pPr>
      <w:r>
        <w:rPr>
          <w:lang w:val="es-AR" w:eastAsia="es-AR" w:bidi="es-AR"/>
        </w:rPr>
        <w:t xml:space="preserve">Asimismo, se agravia de la conclusión según la cual no se habría acreditado el pago de impuestos, tasas y servicios como manifestación del animus domini. Refiere que el propio sentenciante reconoció que no resulta necesario demostrar dichos pagos durante la totalidad del período posesorio, bastando con que exterioricen el ejercicio de la posesión durante una parte significativa del mismo, para luego desestimar la prueba acompañada exigiendo, en los hechos, una acreditación completa del lapso legal.-</w:t>
      </w:r>
    </w:p>
    <w:p>
      <w:pPr>
        <w:pStyle w:val="[Normal]"/>
        <w:spacing w:line="360" w:lineRule="auto"/>
        <w:ind w:firstLine="1134"/>
        <w:jc w:val="both"/>
        <w:rPr>
          <w:lang w:val="es-AR" w:eastAsia="es-AR" w:bidi="es-AR"/>
        </w:rPr>
      </w:pPr>
      <w:r>
        <w:rPr>
          <w:lang w:val="es-AR" w:eastAsia="es-AR" w:bidi="es-AR"/>
        </w:rPr>
        <w:t xml:space="preserve">Añade que fueron incorporados comprobantes de impuestos provinciales, tasas municipales y servicios públicos cuya valoración habría sido omitida o insuficientemente fundamentada, prescindiéndose de un examen integral de tales constancias en relación con el resto del material probatorio.-</w:t>
      </w:r>
    </w:p>
    <w:p>
      <w:pPr>
        <w:pStyle w:val="[Normal]"/>
        <w:spacing w:line="360" w:lineRule="auto"/>
        <w:ind w:firstLine="1134"/>
        <w:jc w:val="both"/>
        <w:rPr>
          <w:lang w:val="es-AR" w:eastAsia="es-AR" w:bidi="es-AR"/>
        </w:rPr>
      </w:pPr>
      <w:r>
        <w:rPr>
          <w:lang w:val="es-AR" w:eastAsia="es-AR" w:bidi="es-AR"/>
        </w:rPr>
        <w:t xml:space="preserve">Cuestiona la eficacia otorgada a la prueba testimonial. Destaca que las testigos declararon en forma concordante acerca de la posesión pública, pacífica e ininterrumpida ejercida por Juan Manuel Iris durante más de veinte años, describiendo actos materiales de mantenimiento, mejoras y cerramiento del inmueble. Señala que, pese a que el magistrado no formuló objeciones respecto de la credibilidad de dichos testimonios, les restó eficacia por considerar que no se encontraban corroborados por otros elementos de convicción.-</w:t>
      </w:r>
    </w:p>
    <w:p>
      <w:pPr>
        <w:pStyle w:val="[Normal]"/>
        <w:spacing w:line="360" w:lineRule="auto"/>
        <w:ind w:firstLine="1134"/>
        <w:jc w:val="both"/>
        <w:rPr>
          <w:lang w:val="es-AR" w:eastAsia="es-AR" w:bidi="es-AR"/>
        </w:rPr>
      </w:pPr>
      <w:r>
        <w:rPr>
          <w:lang w:val="es-AR" w:eastAsia="es-AR" w:bidi="es-AR"/>
        </w:rPr>
        <w:t xml:space="preserve">Por último, aduce que la sentencia omitió ponderar adecuadamente la escritura pública de cesión de derechos posesorios otorgada a su favor y las actuaciones correspondientes al sucesorio de Juan Manuel Iris. Sostiene que ambos instrumentos acreditan la continuidad de la cadena posesoria mediante la posesión ejercida por el causante, su transmisión a la heredera declarada y la posterior cesión al actor, configurándose así el supuesto de unión de posesiones previsto por el art. 1901 del Código Civil y Comercial.-</w:t>
      </w:r>
    </w:p>
    <w:p>
      <w:pPr>
        <w:pStyle w:val="[Normal]"/>
        <w:spacing w:line="360" w:lineRule="auto"/>
        <w:ind w:firstLine="1134"/>
        <w:jc w:val="both"/>
        <w:rPr>
          <w:lang w:val="es-AR" w:eastAsia="es-AR" w:bidi="es-AR"/>
        </w:rPr>
      </w:pPr>
      <w:r>
        <w:rPr>
          <w:lang w:val="es-AR" w:eastAsia="es-AR" w:bidi="es-AR"/>
        </w:rPr>
        <w:t xml:space="preserve">Solicita se revoque el fallo apelado y se haga lugar a la demanda de adquisición de dominio por posesión promovida.-</w:t>
      </w:r>
    </w:p>
    <w:p>
      <w:pPr>
        <w:pStyle w:val="[Normal]"/>
        <w:spacing w:line="360" w:lineRule="auto"/>
        <w:ind w:firstLine="1134"/>
        <w:jc w:val="both"/>
        <w:rPr>
          <w:lang w:val="es-AR" w:eastAsia="es-AR" w:bidi="es-AR"/>
        </w:rPr>
      </w:pPr>
      <w:r>
        <w:rPr>
          <w:lang w:val="es-AR" w:eastAsia="es-AR" w:bidi="es-AR"/>
        </w:rPr>
        <w:t xml:space="preserve">Al contestar el traslado conferido, la Auxiliar Letrada de la Defensoría rebate los argumentos expuestos por el apelante y pide se confirme la sentencia con costas.-</w:t>
      </w:r>
    </w:p>
    <w:p>
      <w:pPr>
        <w:pStyle w:val="[Normal]"/>
        <w:spacing w:line="360" w:lineRule="auto"/>
        <w:ind w:firstLine="1134"/>
        <w:jc w:val="both"/>
        <w:rPr>
          <w:lang w:val="es-AR" w:eastAsia="es-AR" w:bidi="es-AR"/>
        </w:rPr>
      </w:pPr>
      <w:r>
        <w:rPr>
          <w:lang w:val="es-AR" w:eastAsia="es-AR" w:bidi="es-AR"/>
        </w:rPr>
        <w:t xml:space="preserve">Ingresando al tratamiento de la cuestión sometida a revisión, corresponde determinar si se ajusta a derecho la sentencia que rechazó la acción de prescripción adquisitiva promovida por la parte actora.</w:t>
      </w:r>
    </w:p>
    <w:p>
      <w:pPr>
        <w:pStyle w:val="[Normal]"/>
        <w:spacing w:line="360" w:lineRule="auto"/>
        <w:ind w:firstLine="1134"/>
        <w:jc w:val="both"/>
        <w:rPr>
          <w:lang w:val="es-AR" w:eastAsia="es-AR" w:bidi="es-AR"/>
        </w:rPr>
      </w:pPr>
      <w:r>
        <w:rPr>
          <w:lang w:val="es-AR" w:eastAsia="es-AR" w:bidi="es-AR"/>
        </w:rPr>
        <w:t xml:space="preserve">En concreto, los agravios se centran en la valoración asignada a: 1) la escritura de cesión de derechos; 2) la prueba testimonial; 3) la inspección ocular practicada en autos; y 4) la prueba documental. Si bien el orden precedentemente enunciado no coincide con el propuesto por la parte recurrente al expresar agravios, estimo necesario alterar su secuencia expositiva, a fin de conferir mayor claridad y coherencia al análisis que seguidamente se desarrolla.-</w:t>
      </w:r>
    </w:p>
    <w:p>
      <w:pPr>
        <w:pStyle w:val="[Normal]"/>
        <w:spacing w:line="360" w:lineRule="auto"/>
        <w:ind w:firstLine="1134"/>
        <w:jc w:val="both"/>
        <w:rPr>
          <w:lang w:val="es-AR" w:eastAsia="es-AR" w:bidi="es-AR"/>
        </w:rPr>
      </w:pPr>
      <w:r>
        <w:rPr>
          <w:lang w:val="es-AR" w:eastAsia="es-AR" w:bidi="es-AR"/>
        </w:rPr>
        <w:t xml:space="preserve">Por razones metodológicas y con el fin de evitar reiteraciones innecesarias, todos los agravios serán tratados de manera conjunta ya que los mismos se relacionan entre sí impidiendo su análisis por separado.-</w:t>
      </w:r>
    </w:p>
    <w:p>
      <w:pPr>
        <w:pStyle w:val="[Normal]"/>
        <w:spacing w:line="360" w:lineRule="auto"/>
        <w:ind w:firstLine="1134"/>
        <w:jc w:val="both"/>
        <w:rPr>
          <w:i/>
          <w:lang w:val="es-AR" w:eastAsia="es-AR" w:bidi="es-AR"/>
        </w:rPr>
      </w:pPr>
      <w:r>
        <w:rPr>
          <w:lang w:val="es-AR" w:eastAsia="es-AR" w:bidi="es-AR"/>
        </w:rPr>
        <w:t xml:space="preserve">Ello así, comienzo por señalar que </w:t>
      </w:r>
      <w:r>
        <w:rPr>
          <w:i/>
          <w:lang w:val="es-AR" w:eastAsia="es-AR" w:bidi="es-AR"/>
        </w:rPr>
        <w:t xml:space="preserve">"...tratándose la usucapión de un modo excepcional de adquirir la propiedad, la prueba debe ser concluyente, reuniendo condiciones sustanciales de exactitud, precisión y claridad, y las pautas para su apreciación estrictas, exigiéndose apoyo formal, serio y convincente, respecto a la posesión del ánimus domini y a su antigüedad" </w:t>
      </w:r>
      <w:r>
        <w:rPr>
          <w:lang w:val="es-AR" w:eastAsia="es-AR" w:bidi="es-AR"/>
        </w:rPr>
        <w:t xml:space="preserve">(CAP Exptes. C- 1196/93; C-1158/93; C-5031-23).-</w:t>
      </w:r>
    </w:p>
    <w:p>
      <w:pPr>
        <w:pStyle w:val="[Normal]"/>
        <w:spacing w:line="360" w:lineRule="auto"/>
        <w:ind w:firstLine="1134"/>
        <w:jc w:val="both"/>
        <w:rPr>
          <w:lang w:val="es-AR" w:eastAsia="es-AR" w:bidi="es-AR"/>
        </w:rPr>
      </w:pPr>
      <w:r>
        <w:rPr>
          <w:lang w:val="es-AR" w:eastAsia="es-AR" w:bidi="es-AR"/>
        </w:rPr>
        <w:t xml:space="preserve">Ahora bien, la recurrente sostiene que el a quo omitió valorar adecuadamente la escritura de cesión de acciones y derechos posesorios acompañada con el escrito de demanda, otorgada en el año 2021.</w:t>
      </w:r>
    </w:p>
    <w:p>
      <w:pPr>
        <w:pStyle w:val="[Normal]"/>
        <w:spacing w:line="360" w:lineRule="auto"/>
        <w:ind w:firstLine="1134"/>
        <w:jc w:val="both"/>
        <w:rPr>
          <w:lang w:val="es-AR" w:eastAsia="es-AR" w:bidi="es-AR"/>
        </w:rPr>
      </w:pPr>
      <w:r>
        <w:rPr>
          <w:lang w:val="es-AR" w:eastAsia="es-AR" w:bidi="es-AR"/>
        </w:rPr>
        <w:t xml:space="preserve">Sin embargo, la controversia no radica en la validez o eficacia del negocio jurídico de cesión, sino en la efectiva existencia de la posesión cuya transmisión se invoca. En efecto, si ésta no resulta debidamente acreditada, la cesión carece de aptitud para sustentar la unión de posesiones prevista en el art. 1901 del Código Civil y Comercial.</w:t>
      </w:r>
    </w:p>
    <w:p>
      <w:pPr>
        <w:pStyle w:val="[Normal]"/>
        <w:spacing w:line="360" w:lineRule="auto"/>
        <w:ind w:firstLine="1134"/>
        <w:jc w:val="both"/>
        <w:rPr>
          <w:lang w:val="es-AR" w:eastAsia="es-AR" w:bidi="es-AR"/>
        </w:rPr>
      </w:pPr>
      <w:r>
        <w:rPr>
          <w:lang w:val="es-AR" w:eastAsia="es-AR" w:bidi="es-AR"/>
        </w:rPr>
        <w:t xml:space="preserve">Ello es así, pues la sola existencia de una escritura pública de cesión no acredita, por sí misma, la efectiva realización de los actos posesorios alegados ni la concurrencia de una posesión apta para prescribir. Resultaba imprescindible que la parte actora demostrara que quien aparecía como cedente de los derechos posesorios (en el caso a través de su heredera María Luisa Peralta), el señor Juan Manuel Iris, ejerció una posesión pública, pacífica, continua e ininterrumpida con animus domini durante el plazo legal, extremo indispensable para que pudiera operar la unión de posesiones invocada.-</w:t>
      </w:r>
    </w:p>
    <w:p>
      <w:pPr>
        <w:pStyle w:val="[Normal]"/>
        <w:spacing w:line="360" w:lineRule="auto"/>
        <w:ind w:firstLine="1134"/>
        <w:jc w:val="both"/>
        <w:rPr>
          <w:lang w:val="es-AR" w:eastAsia="es-AR" w:bidi="es-AR"/>
        </w:rPr>
      </w:pPr>
      <w:r>
        <w:rPr>
          <w:lang w:val="es-AR" w:eastAsia="es-AR" w:bidi="es-AR"/>
        </w:rPr>
        <w:t xml:space="preserve">Al respecto se ha dicho </w:t>
      </w:r>
      <w:r>
        <w:rPr>
          <w:i/>
          <w:lang w:val="es-AR" w:eastAsia="es-AR" w:bidi="es-AR"/>
        </w:rPr>
        <w:t xml:space="preserve">"En casos como el presente donde los accionantes pretenden hacer valer a los efectos de tenerse por cumplidos los requisitos propios para la prescripción adquisitiva las constancias emergentes de una cesión de derechos y acciones posesorias, la circunstancia de que el negocio jurídico haya quedado plasmado en un instrumento público no implica que la plena fe que el mismo otorga en lo que a las manifestaciones del cedente y el cesionario respecta se extienda a la existencia y efectiva realización de los actos posesorios alegados, los cuales necesariamente han de deber ser acreditados en la causa por quien pretende usucapir (Art. 375 CPCC). Ello así pues el instrumento público hace plena fe sólo de la existencia material de los hechos que el oficial público hubiere anunciado como cumplidos por el mismo o que han pasado en su presencia"</w:t>
      </w:r>
      <w:r>
        <w:rPr>
          <w:lang w:val="es-AR" w:eastAsia="es-AR" w:bidi="es-AR"/>
        </w:rPr>
        <w:t xml:space="preserve"> (CC0202 LP 128318 RSD 239/20 S 22/12/2020 JUBA B5073892).-</w:t>
      </w:r>
    </w:p>
    <w:p>
      <w:pPr>
        <w:pStyle w:val="[Normal]"/>
        <w:spacing w:line="360" w:lineRule="auto"/>
        <w:ind w:firstLine="1134"/>
        <w:jc w:val="both"/>
        <w:rPr>
          <w:lang w:val="es-AR" w:eastAsia="es-AR" w:bidi="es-AR"/>
        </w:rPr>
      </w:pPr>
      <w:r>
        <w:rPr>
          <w:color w:val="000000"/>
          <w:lang w:val="es-AR" w:eastAsia="es-AR" w:bidi="es-AR"/>
        </w:rPr>
        <w:t xml:space="preserve">Sentado ello, corresponde examinar si la prueba producida en autos resulta suficiente para tener por acreditada la posesión invocada en cabeza del señor Juan Manuel Iris, pues sólo a partir de esa demostración podría prosperar la agregación de posesiones pretendida por la actora.-</w:t>
      </w:r>
    </w:p>
    <w:p>
      <w:pPr>
        <w:pStyle w:val="[Normal]"/>
        <w:spacing w:line="360" w:lineRule="auto"/>
        <w:ind w:firstLine="1134"/>
        <w:jc w:val="both"/>
        <w:rPr>
          <w:lang w:val="es-AR" w:eastAsia="es-AR" w:bidi="es-AR"/>
        </w:rPr>
      </w:pPr>
      <w:r>
        <w:rPr>
          <w:lang w:val="es-AR" w:eastAsia="es-AR" w:bidi="es-AR"/>
        </w:rPr>
        <w:t xml:space="preserve">De los testimonios rendidos (en la audiencia de fecha 19-3-2025 y la supletoria de 26-3-2025) por María Teresa Martínez y Beatriz del Carmen Carrizo surge que ambas acreditan que el inmueble era ocupado por el Juan Manuel Iris, que siempre se comportó como dueño del lugar y que junto a su madre Luisa Peralta realizaban reformas y tareas de mantenimiento y criaban animales.-</w:t>
      </w:r>
    </w:p>
    <w:p>
      <w:pPr>
        <w:pStyle w:val="[Normal]"/>
        <w:spacing w:line="360" w:lineRule="auto"/>
        <w:ind w:firstLine="1134"/>
        <w:jc w:val="both"/>
        <w:rPr>
          <w:lang w:val="es-AR" w:eastAsia="es-AR" w:bidi="es-AR"/>
        </w:rPr>
      </w:pPr>
      <w:r>
        <w:rPr>
          <w:lang w:val="es-AR" w:eastAsia="es-AR" w:bidi="es-AR"/>
        </w:rPr>
        <w:t xml:space="preserve">Asimismo, ambas confirman que en la actualidad el inmueble se encuentra ocupado por el Sr. Basconcelo aproximadamente desde 2022 y que lo ven realizando tareas de mantenimiento y cuidado del lugar.-</w:t>
      </w:r>
    </w:p>
    <w:p>
      <w:pPr>
        <w:pStyle w:val="[Normal]"/>
        <w:spacing w:line="360" w:lineRule="auto"/>
        <w:ind w:firstLine="1134"/>
        <w:jc w:val="both"/>
        <w:rPr>
          <w:lang w:val="es-AR" w:eastAsia="es-AR" w:bidi="es-AR"/>
        </w:rPr>
      </w:pPr>
      <w:r>
        <w:rPr>
          <w:lang w:val="es-AR" w:eastAsia="es-AR" w:bidi="es-AR"/>
        </w:rPr>
        <w:t xml:space="preserve">Debo recordar que las declaraciones testimoniales, evaluadas a la luz de la sana crítica, son sumamente importantes para resolver la cuestión, por cuanto los testigos dan cuenta del conocimiento personal de los actos posesorios que aluden realizados.-</w:t>
      </w:r>
    </w:p>
    <w:p>
      <w:pPr>
        <w:pStyle w:val="[Normal]"/>
        <w:spacing w:line="360" w:lineRule="auto"/>
        <w:ind w:firstLine="1134"/>
        <w:jc w:val="both"/>
        <w:rPr>
          <w:lang w:val="es-AR" w:eastAsia="es-AR" w:bidi="es-AR"/>
        </w:rPr>
      </w:pPr>
      <w:r>
        <w:rPr>
          <w:lang w:val="es-AR" w:eastAsia="es-AR" w:bidi="es-AR"/>
        </w:rPr>
        <w:t xml:space="preserve">Sin embargo, la prueba testimonial es insuficiente por sí sola para acoger la demanda de usucapión, por lo que es preciso confrontar o ratificar lo dichos de los testigos con otras pruebas que reflejen esos mismos hechos, es decir, que acrediten sus referencias. Y aun cuando ello no implica exigir una prueba corroborante de la testifical para cada uno de los actos posesorios invocados y durante cada momento del lapso prescriptivo, sí es necesario que exterioricen la existencia de la posesión o de algunos de sus elementos durante una buena parte del mismo, para que, tratando de reconstruir la verdad que se busca con esos rastros, pueda afirmarse la existencia de la posesión veinteñal (CC0203 LP 116305 RSD-25-18 S 06/03/2018 JUBA B355820).-</w:t>
      </w:r>
    </w:p>
    <w:p>
      <w:pPr>
        <w:pStyle w:val="[Normal]"/>
        <w:spacing w:line="360" w:lineRule="auto"/>
        <w:ind w:firstLine="1134"/>
        <w:jc w:val="both"/>
        <w:rPr>
          <w:lang w:val="es-AR" w:eastAsia="es-AR" w:bidi="es-AR"/>
        </w:rPr>
      </w:pPr>
      <w:r>
        <w:rPr>
          <w:lang w:val="es-AR" w:eastAsia="es-AR" w:bidi="es-AR"/>
        </w:rPr>
        <w:t xml:space="preserve">De la inspección ocular, el acta labrada por el Secretario del Juzgado da cuenta de que</w:t>
      </w:r>
      <w:r>
        <w:rPr>
          <w:i/>
          <w:lang w:val="es-AR" w:eastAsia="es-AR" w:bidi="es-AR"/>
        </w:rPr>
        <w:t xml:space="preserve"> "...la casa es muy precaria y no está en buenas condiciones. El terreno del predio tiene aspecto algo descuidado, con los pastos crecidos"</w:t>
      </w:r>
      <w:r>
        <w:rPr>
          <w:lang w:val="es-AR" w:eastAsia="es-AR" w:bidi="es-AR"/>
        </w:rPr>
        <w:t xml:space="preserve">. Tales constataciones encuentran adecuado respaldo en las fotografías incorporadas al acta, las cuales reflejan objetivamente el estado del inmueble al tiempo de la diligencia. Dichos elementos no sólo contradicen la descripción efectuada por el propio actor en su escrito de demanda, sino que también restan fuerza convictiva a las declaraciones testimoniales que pretendían acreditar la realización constante de actos posesorios y de conservación del inmueble.-</w:t>
      </w:r>
    </w:p>
    <w:p>
      <w:pPr>
        <w:pStyle w:val="[Normal]"/>
        <w:spacing w:line="360" w:lineRule="auto"/>
        <w:ind w:firstLine="1134"/>
        <w:jc w:val="both"/>
        <w:rPr>
          <w:lang w:val="es-AR" w:eastAsia="es-AR" w:bidi="es-AR"/>
        </w:rPr>
      </w:pPr>
      <w:r>
        <w:rPr>
          <w:lang w:val="es-AR" w:eastAsia="es-AR" w:bidi="es-AR"/>
        </w:rPr>
        <w:t xml:space="preserve">Sobre ello tiene dicho esta Alzada, aunque con distinta composición, fundamentos que son aplicables al caso bajo análisis </w:t>
      </w:r>
      <w:r>
        <w:rPr>
          <w:i/>
          <w:lang w:val="es-AR" w:eastAsia="es-AR" w:bidi="es-AR"/>
        </w:rPr>
        <w:t xml:space="preserve">"debe reputarse idónea la inspección ocular llevada a cabo en el inmueble para corroborar lo que surge de la testifical producida, integrando así la prueba compuesta. Es que con ella se comprueba que el acceso a la misma fue posibilitado por el poseedor sin la oposición de terceros, revelando la ocupación, la antigüedad de las construcciones, la plantación de árboles y otras mejoras</w:t>
      </w:r>
      <w:r>
        <w:rPr>
          <w:lang w:val="es-AR" w:eastAsia="es-AR" w:bidi="es-AR"/>
        </w:rPr>
        <w:t xml:space="preserve">" (CAP causa 1449 RSD-6-95 S 14/02/1995).-</w:t>
      </w:r>
    </w:p>
    <w:p>
      <w:pPr>
        <w:pStyle w:val="[Normal]"/>
        <w:spacing w:line="360" w:lineRule="auto"/>
        <w:ind w:firstLine="1134"/>
        <w:jc w:val="both"/>
        <w:rPr>
          <w:lang w:val="es-AR" w:eastAsia="es-AR" w:bidi="es-AR"/>
        </w:rPr>
      </w:pPr>
      <w:r>
        <w:rPr>
          <w:lang w:val="es-AR" w:eastAsia="es-AR" w:bidi="es-AR"/>
        </w:rPr>
        <w:t xml:space="preserve">En lo que respecta al pago de impuestos y demás cargas inherentes al inmueble, se advierte cierto déficit probatorio por parte de la actora, en tanto únicamente acompañó un plan de pagos del segundo periodo del año 2010 y 4 periodos del año 2011 y 2 constancias relativas al servicio de energía eléctrica de la Cooperativa de Manuel Ocampo, sin aportar documentación que permita acreditar el cumplimiento de otras obligaciones tributarias o tasas vinculadas al bien objeto de autos.</w:t>
      </w:r>
    </w:p>
    <w:p>
      <w:pPr>
        <w:pStyle w:val="[Normal]"/>
        <w:spacing w:line="360" w:lineRule="auto"/>
        <w:ind w:firstLine="1134"/>
        <w:jc w:val="both"/>
        <w:rPr>
          <w:lang w:val="es-AR" w:eastAsia="es-AR" w:bidi="es-AR"/>
        </w:rPr>
      </w:pPr>
      <w:r>
        <w:rPr>
          <w:lang w:val="es-AR" w:eastAsia="es-AR" w:bidi="es-AR"/>
        </w:rPr>
        <w:t xml:space="preserve">Se ha dicho "</w:t>
      </w:r>
      <w:r>
        <w:rPr>
          <w:i/>
          <w:lang w:val="es-AR" w:eastAsia="es-AR" w:bidi="es-AR"/>
        </w:rPr>
        <w:t xml:space="preserve">En materia de usucapión, el pago de impuestos no constituye un acto posesorio y por ende, nada prueba con relación al corpus posesorio. Los actos posesorios comportan un ejercicio efectivo del señorío sobre la cosa, y presuponen un contacto inmediato del sujeto con el objeto. Se ha señalado que se pueden pagar los impuestos y tasas sin tener el corpus posesorio"</w:t>
      </w:r>
      <w:r>
        <w:rPr>
          <w:lang w:val="es-AR" w:eastAsia="es-AR" w:bidi="es-AR"/>
        </w:rPr>
        <w:t xml:space="preserve"> (CC0102 MP 166580 82-S S 10/04/2019 JUBA B5060195) y </w:t>
      </w:r>
      <w:r>
        <w:rPr>
          <w:i/>
          <w:lang w:val="es-AR" w:eastAsia="es-AR" w:bidi="es-AR"/>
        </w:rPr>
        <w:t xml:space="preserve">"El pago de servicios por sí solo no es suficiente para tener por adquirido el dominio por usucapión, dándose especial consideración al pago de impuestos y tasas que graven al inmueble (art. 24 ley 14.159)"</w:t>
      </w:r>
      <w:r>
        <w:rPr>
          <w:lang w:val="es-AR" w:eastAsia="es-AR" w:bidi="es-AR"/>
        </w:rPr>
        <w:t xml:space="preserve"> (CC0202 LP 125323 RSD 170/19 S 01/07/2019 JUBA B5062579).-</w:t>
      </w:r>
    </w:p>
    <w:p>
      <w:pPr>
        <w:pStyle w:val="[Normal]"/>
        <w:spacing w:line="360" w:lineRule="auto"/>
        <w:ind w:firstLine="1134"/>
        <w:jc w:val="both"/>
        <w:rPr>
          <w:lang w:val="es-AR" w:eastAsia="es-AR" w:bidi="es-AR"/>
        </w:rPr>
      </w:pPr>
      <w:r>
        <w:rPr>
          <w:lang w:val="es-AR" w:eastAsia="es-AR" w:bidi="es-AR"/>
        </w:rPr>
        <w:t xml:space="preserve">Por el contrario como se ha sostenido </w:t>
      </w:r>
      <w:r>
        <w:rPr>
          <w:i/>
          <w:lang w:val="es-AR" w:eastAsia="es-AR" w:bidi="es-AR"/>
        </w:rPr>
        <w:t xml:space="preserve">"El pago de los impuestos constituye una exteriorización del "animus rem sibi habendi", no hace más que exteriorizar el "animus domini" y una forma de probarlo es, evidentemente, acreditar que el poseedor se comportó como lo hace habitualmente un propietario, o sea, pagando, más o menos regularmente los gravámenes que afectan al inmueble. El pago de las obligaciones fiscales sirve así para comprobar el ánimo de dueño que tiene el ocupante y no el transcurso del término legal de prescripción, resultando en consecuencia admisible que no tenga una antigüedad que se remonte a todo el lapso de la usucapión, bastando que se ubique en algún momento bastante anterior a la demanda</w:t>
      </w:r>
      <w:r>
        <w:rPr>
          <w:lang w:val="es-AR" w:eastAsia="es-AR" w:bidi="es-AR"/>
        </w:rPr>
        <w:t xml:space="preserve"> (CC0002 SM 57067 RSD-83-6 S 18/04/2006 JUBA 2004134).-</w:t>
      </w:r>
    </w:p>
    <w:p>
      <w:pPr>
        <w:pStyle w:val="[Normal]"/>
        <w:spacing w:line="360" w:lineRule="auto"/>
        <w:ind w:firstLine="1134"/>
        <w:jc w:val="both"/>
        <w:rPr>
          <w:lang w:val="es-AR" w:eastAsia="es-AR" w:bidi="es-AR"/>
        </w:rPr>
      </w:pPr>
      <w:r>
        <w:rPr>
          <w:lang w:val="es-AR" w:eastAsia="es-AR" w:bidi="es-AR"/>
        </w:rPr>
        <w:t xml:space="preserve">En definitiva, de la valoración integral del material probatorio producido (Arts. 375, 384, 456 y 679 del C.P.C.C.), no se desprende una prueba clara, precisa y concluyente de la posesión invocada. La parte actora no logró acreditar que quien le cediera los pretendidos derechos posesorios hubiera ejercido, durante el plazo legal, actos posesorios idóneos con animus domini, ni tampoco demostró haber continuado personalmente esa posesión mediante la realización de actos materiales inequívocos reveladores de un efectivo señorío sobre el inmueble. Por el contrario, las constancias de la causa evidencian la insuficiencia de la prueba producida para tener por configurados los extremos exigidos para la procedencia de la prescripción adquisitiva.</w:t>
      </w:r>
    </w:p>
    <w:p>
      <w:pPr>
        <w:pStyle w:val="[Normal]"/>
        <w:spacing w:line="360" w:lineRule="auto"/>
        <w:ind w:firstLine="1134"/>
        <w:jc w:val="both"/>
        <w:rPr>
          <w:lang w:val="es-AR" w:eastAsia="es-AR" w:bidi="es-AR"/>
        </w:rPr>
      </w:pPr>
      <w:r>
        <w:rPr>
          <w:lang w:val="es-AR" w:eastAsia="es-AR" w:bidi="es-AR"/>
        </w:rPr>
        <w:t xml:space="preserve">No puede perderse de vista que la unión de posesiones prevista en el art. 1901 del Código Civil y Comercial presupone la acreditación de una posesión útil en cabeza del antecesor, extremo que no ha sido demostrado en autos. Asimismo, tampoco resultó probado que el actor hubiera ejercido respecto del inmueble un poder de hecho con la intención de comportarse como verdadero propietario, requisito indispensable para la adquisición del dominio por prescripción (arts. 1897, 1899, 1900, 1909, 1928 y ccs. del Código Civil y Comercial).</w:t>
      </w:r>
    </w:p>
    <w:p>
      <w:pPr>
        <w:pStyle w:val="[Normal]"/>
        <w:spacing w:line="360" w:lineRule="auto"/>
        <w:ind w:firstLine="1134"/>
        <w:jc w:val="both"/>
        <w:rPr>
          <w:lang w:val="es-AR" w:eastAsia="es-AR" w:bidi="es-AR"/>
        </w:rPr>
      </w:pPr>
      <w:r>
        <w:rPr>
          <w:lang w:val="es-AR" w:eastAsia="es-AR" w:bidi="es-AR"/>
        </w:rPr>
        <w:t xml:space="preserve">En tales condiciones, no habiendo el apelante desvirtuado los fundamentos esenciales del pronunciamiento recurrido ni satisfecho la carga probatoria que sobre él pesaba, propongo al Acuerdo rechazar el recurso de apelación deducido.-</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Degleue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Rechazar el recurso de apelación deducido por la parte actora y en consecuencia confirmar el fallo atacado.-</w:t>
      </w:r>
    </w:p>
    <w:p>
      <w:pPr>
        <w:pStyle w:val="[Normal]"/>
        <w:spacing w:line="360" w:lineRule="auto"/>
        <w:ind w:firstLine="1134"/>
        <w:jc w:val="both"/>
        <w:rPr>
          <w:lang w:val="es-AR" w:eastAsia="es-AR" w:bidi="es-AR"/>
        </w:rPr>
      </w:pPr>
      <w:r>
        <w:rPr>
          <w:lang w:val="es-AR" w:eastAsia="es-AR" w:bidi="es-AR"/>
        </w:rPr>
        <w:t xml:space="preserve">Imponer costas de Alzada a la apelante que resulta vencida (Art. 68/9 CPCC).-</w:t>
      </w:r>
    </w:p>
    <w:p>
      <w:pPr>
        <w:pStyle w:val="[Normal]"/>
        <w:spacing w:line="360" w:lineRule="auto"/>
        <w:ind w:firstLine="1134"/>
        <w:jc w:val="both"/>
        <w:rPr>
          <w:lang w:val="es-AR" w:eastAsia="es-AR" w:bidi="es-AR"/>
        </w:rPr>
      </w:pPr>
      <w:r>
        <w:rPr>
          <w:lang w:val="es-AR" w:eastAsia="es-AR" w:bidi="es-AR"/>
        </w:rPr>
        <w:t xml:space="preserve">Diferir la regulación de honorarios para su oportunidad (Art. 31 ley 14.967).-</w:t>
      </w:r>
    </w:p>
    <w:p>
      <w:pPr>
        <w:pStyle w:val="[Normal]"/>
        <w:spacing w:line="360" w:lineRule="auto"/>
        <w:ind w:firstLine="1134"/>
        <w:jc w:val="both"/>
        <w:rPr>
          <w:lang w:val="es-AR" w:eastAsia="es-AR" w:bidi="es-AR"/>
        </w:rPr>
      </w:pPr>
      <w:r>
        <w:rPr>
          <w:b/>
          <w:lang w:val="es-AR" w:eastAsia="es-AR" w:bidi="es-AR"/>
        </w:rPr>
        <w:t xml:space="preserve">ASÍ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u w:val="single"/>
          <w:lang w:val="es-AR" w:eastAsia="es-AR" w:bidi="es-AR"/>
        </w:rPr>
        <w:t xml:space="preserve">S E N T E N C I A</w:t>
      </w:r>
      <w:r>
        <w:rPr>
          <w:u w:val="single"/>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Rechazar el recurso de apelación deducido por la parte actora y en consecuencia confirmar el fallo atacado.-</w:t>
      </w:r>
    </w:p>
    <w:p>
      <w:pPr>
        <w:pStyle w:val="[Normal]"/>
        <w:spacing w:line="360" w:lineRule="auto"/>
        <w:ind w:firstLine="1134"/>
        <w:jc w:val="both"/>
        <w:rPr>
          <w:lang w:val="es-AR" w:eastAsia="es-AR" w:bidi="es-AR"/>
        </w:rPr>
      </w:pPr>
      <w:r>
        <w:rPr>
          <w:lang w:val="es-AR" w:eastAsia="es-AR" w:bidi="es-AR"/>
        </w:rPr>
        <w:t xml:space="preserve">Imponer costas de Alzada a la apelante que resulta vencida (Art. 68/9 CPCC).-</w:t>
      </w:r>
    </w:p>
    <w:p>
      <w:pPr>
        <w:pStyle w:val="[Normal]"/>
        <w:spacing w:line="360" w:lineRule="auto"/>
        <w:ind w:firstLine="1134"/>
        <w:jc w:val="both"/>
        <w:rPr>
          <w:lang w:val="es-AR" w:eastAsia="es-AR" w:bidi="es-AR"/>
        </w:rPr>
      </w:pPr>
      <w:r>
        <w:rPr>
          <w:lang w:val="es-AR" w:eastAsia="es-AR" w:bidi="es-AR"/>
        </w:rPr>
        <w:t xml:space="preserve">Diferir la regulación de honorarios para su oportunidad (Art. 31 ley 14.967).-</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y mod.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10:36:27 -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10:45:55 -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11:06:18 -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‰7e")è&amp;}V@cŠ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236902090006935432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11/08/2026 11:06:41 hs. bajo el número RS-124-2026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