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lang w:val="es-AR" w:eastAsia="es-AR" w:bidi="es-AR"/>
        </w:rPr>
        <w:t xml:space="preserve"> En la ciudad de Pergamino, reunidos en Acuerdo Ordinario los Sres. Jueces de la Excma. Cámara de Apelación en lo Civil y Comercial del Departamento Judicial Pergamino, para dictar sentencia en la causa N° </w:t>
      </w:r>
      <w:r>
        <w:rPr>
          <w:color w:val="000000"/>
          <w:lang w:val="es-AR" w:eastAsia="es-AR" w:bidi="es-AR"/>
        </w:rPr>
        <w:t xml:space="preserve">6095-26</w:t>
      </w:r>
      <w:r>
        <w:rPr>
          <w:lang w:val="es-AR" w:eastAsia="es-AR" w:bidi="es-AR"/>
        </w:rPr>
        <w:t xml:space="preserve"> caratulada </w:t>
      </w:r>
      <w:r>
        <w:rPr>
          <w:b/>
          <w:lang w:val="es-AR" w:eastAsia="es-AR" w:bidi="es-AR"/>
        </w:rPr>
        <w:t xml:space="preserve">"</w:t>
      </w:r>
      <w:r>
        <w:rPr>
          <w:b/>
          <w:color w:val="000000"/>
          <w:lang w:val="es-AR" w:eastAsia="es-AR" w:bidi="es-AR"/>
        </w:rPr>
        <w:t xml:space="preserve">FERNANDEZ, ELISA RITA C/ CAMPORA, PAMELA ESTEFANIA S/DESALOJO FALTA DE PAGO (INFOREC 923)</w:t>
      </w:r>
      <w:r>
        <w:rPr>
          <w:b/>
          <w:lang w:val="es-AR" w:eastAsia="es-AR" w:bidi="es-AR"/>
        </w:rPr>
        <w:t xml:space="preserve">"</w:t>
      </w:r>
      <w:r>
        <w:rPr>
          <w:lang w:val="es-AR" w:eastAsia="es-AR" w:bidi="es-AR"/>
        </w:rPr>
        <w:t xml:space="preserve">, Expte. </w:t>
      </w:r>
      <w:r>
        <w:rPr>
          <w:color w:val="000000"/>
          <w:lang w:val="es-AR" w:eastAsia="es-AR" w:bidi="es-AR"/>
        </w:rPr>
        <w:t xml:space="preserve">47.032</w:t>
      </w:r>
      <w:r>
        <w:rPr>
          <w:color w:val="000000"/>
          <w:lang w:val="es-AR" w:eastAsia="es-AR" w:bidi="es-AR"/>
        </w:rPr>
        <w:t xml:space="preserve"> </w:t>
      </w:r>
      <w:r>
        <w:rPr>
          <w:lang w:val="es-AR" w:eastAsia="es-AR" w:bidi="es-AR"/>
        </w:rPr>
        <w:t xml:space="preserve">del Juzgado de Paz de Colón, se practicó el sorteo de ley que determinó que la votación debía efectuarse en el siguiente orden: Graciela Scaraffia y Roberto Degleue,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la señora Jueza Graciela Scaraffia dijo:</w:t>
      </w:r>
    </w:p>
    <w:p>
      <w:pPr>
        <w:pStyle w:val="[Normal]"/>
        <w:spacing w:line="360" w:lineRule="auto"/>
        <w:ind w:firstLine="1134"/>
        <w:jc w:val="both"/>
        <w:rPr>
          <w:lang w:val="es-AR" w:eastAsia="es-AR" w:bidi="es-AR"/>
        </w:rPr>
      </w:pPr>
      <w:r>
        <w:rPr>
          <w:lang w:val="es-AR" w:eastAsia="es-AR" w:bidi="es-AR"/>
        </w:rPr>
        <w:t xml:space="preserve">El Sr. Juez de la anterior instancia hizo lugar a la demanda de desalojo promovida por Elisa Rita Fernández contra Pamela Estefania Campora y/o cualquier otro ocupante del inmueble ubicado en calle 22 N° 448 de la ciudad de Colón, correspondiente a la partida inmobiliaria 021-000385-1, designado catastralmente como sección B, manzana 69, parcela 5A, circunscripción I. Condenó a la demandada a desocupar y entregar el inmueble a la actora, libre de efectos y personas, en el plazo de DIEZ (10) DÍAS de quedar firme la presente, bajo apercibimiento de lanzamiento por medio de la fuerza pública. Se estableció este plazo perentorio considerando la resolución del contrato ya operada y el tiempo transcurrido desde la intimación original.  Impuso las costas del proceso a la parte demandada en su calidad de vencida (artículo 68 del CPCCBA).-</w:t>
      </w:r>
    </w:p>
    <w:p>
      <w:pPr>
        <w:pStyle w:val="[Normal]"/>
        <w:spacing w:line="360" w:lineRule="auto"/>
        <w:ind w:firstLine="1134"/>
        <w:jc w:val="both"/>
        <w:rPr>
          <w:color w:val="000000"/>
          <w:lang w:val="es-AR" w:eastAsia="es-AR" w:bidi="es-AR"/>
        </w:rPr>
      </w:pPr>
      <w:r>
        <w:rPr>
          <w:color w:val="000000"/>
          <w:lang w:val="es-AR" w:eastAsia="es-AR" w:bidi="es-AR"/>
        </w:rPr>
        <w:t xml:space="preserve">Tal decisorio, fue objeto del recurso de apelación interpuesto el día 18-3-2026 por la parte demandada, concedido el 25-3-2026 libremente y en efecto suspensivo. El día 6-4-2026 la parte demandada fundó sus agravios en forma prematura.</w:t>
      </w:r>
    </w:p>
    <w:p>
      <w:pPr>
        <w:pStyle w:val="[Normal]"/>
        <w:spacing w:line="360" w:lineRule="auto"/>
        <w:ind w:firstLine="1134"/>
        <w:jc w:val="both"/>
        <w:rPr>
          <w:lang w:val="es-AR" w:eastAsia="es-AR" w:bidi="es-AR"/>
        </w:rPr>
      </w:pPr>
      <w:r>
        <w:rPr>
          <w:lang w:val="es-AR" w:eastAsia="es-AR" w:bidi="es-AR"/>
        </w:rPr>
        <w:t xml:space="preserve">Elevados los autos a esta Alzada con fecha 26-5-2026 se ordenó el traslado de los agravios a la parte actora, quien el 5-6-2026 lo evacuó. Con fecha 11-6-2026 llamamiento de autos, providencia, que firme a la fecha deja la causa en condiciones de ser fallada.-</w:t>
      </w:r>
    </w:p>
    <w:p>
      <w:pPr>
        <w:pStyle w:val="[Normal]"/>
        <w:spacing w:line="360" w:lineRule="auto"/>
        <w:ind w:firstLine="1134"/>
        <w:jc w:val="both"/>
        <w:rPr>
          <w:lang w:val="es-AR" w:eastAsia="es-AR" w:bidi="es-AR"/>
        </w:rPr>
      </w:pPr>
      <w:r>
        <w:rPr>
          <w:lang w:val="es-AR" w:eastAsia="es-AR" w:bidi="es-AR"/>
        </w:rPr>
        <w:t xml:space="preserve">I) .-Antecedentes: La Sra. Elisa Rita Fernández promovió demanda de desalojo por falta de pago contra la Sra. Pamela Estefania Campora respecto del inmueble sito en calle 22 N° 448 de la ciudad de Colón (partida inmobiliaria 021-000385-1), invocando la existencia de un contrato de locación celebrado el 20 de diciembre de 2022 por el plazo de 36 meses y la falta de pago de los alquileres desde enero de 2024, previa intimación fehaciente por Carta Documento N° 28607372 8, conforme lo exigen los arts. 1219 inc. c) y 1222 del Código Civil y Comercial de la Nación (en adelante, CCCN).</w:t>
      </w:r>
    </w:p>
    <w:p>
      <w:pPr>
        <w:pStyle w:val="[Normal]"/>
        <w:spacing w:line="360" w:lineRule="auto"/>
        <w:ind w:firstLine="1134"/>
        <w:jc w:val="both"/>
        <w:rPr>
          <w:lang w:val="es-AR" w:eastAsia="es-AR" w:bidi="es-AR"/>
        </w:rPr>
      </w:pPr>
      <w:r>
        <w:rPr>
          <w:lang w:val="es-AR" w:eastAsia="es-AR" w:bidi="es-AR"/>
        </w:rPr>
        <w:t xml:space="preserve">La demandada, al contestar demanda, reconoció el vínculo contractual pero negó adeudar los cánones reclamados, invocando deficiencias edilicias de humedad y filtraciones que la habrían llevado a afrontar reparaciones a su costa, y solicitó un plazo de noventa (90) días para desocupar el inmueble en atención a convivir con tres hijos menores de edad.</w:t>
      </w:r>
    </w:p>
    <w:p>
      <w:pPr>
        <w:pStyle w:val="[Normal]"/>
        <w:spacing w:line="360" w:lineRule="auto"/>
        <w:ind w:firstLine="1134"/>
        <w:jc w:val="both"/>
        <w:rPr>
          <w:lang w:val="es-AR" w:eastAsia="es-AR" w:bidi="es-AR"/>
        </w:rPr>
      </w:pPr>
      <w:r>
        <w:rPr>
          <w:lang w:val="es-AR" w:eastAsia="es-AR" w:bidi="es-AR"/>
        </w:rPr>
        <w:t xml:space="preserve">Sustanciado el proceso, se produjo un informe socio-ambiental que constató tanto el estado edilicio de la vivienda como la composición del grupo familiar, y se dio intervención al Asesor de Menores ad-hoc, quien dictaminó que, encontrándose la locataria bajo acompañamiento municipal para su relocalización, correspondía hacer lugar a la sentencia de desalojo.</w:t>
      </w:r>
    </w:p>
    <w:p>
      <w:pPr>
        <w:pStyle w:val="[Normal]"/>
        <w:spacing w:line="360" w:lineRule="auto"/>
        <w:ind w:firstLine="1134"/>
        <w:jc w:val="both"/>
        <w:rPr>
          <w:lang w:val="es-AR" w:eastAsia="es-AR" w:bidi="es-AR"/>
        </w:rPr>
      </w:pPr>
      <w:r>
        <w:rPr>
          <w:lang w:val="es-AR" w:eastAsia="es-AR" w:bidi="es-AR"/>
        </w:rPr>
        <w:t xml:space="preserve">Finalmente el Sr. Juez de grado dictó sentencia el 11/03/2026 haciendo lugar a la demanda de desalojo, condenando a la demandada a desocupar y entregar el inmueble en el plazo de diez (10) días de quedar firme la resolución, con costas a la vencida.</w:t>
      </w:r>
    </w:p>
    <w:p>
      <w:pPr>
        <w:pStyle w:val="[Normal]"/>
        <w:spacing w:line="360" w:lineRule="auto"/>
        <w:ind w:firstLine="1134"/>
        <w:jc w:val="both"/>
        <w:rPr>
          <w:lang w:val="es-AR" w:eastAsia="es-AR" w:bidi="es-AR"/>
        </w:rPr>
      </w:pPr>
      <w:r>
        <w:rPr>
          <w:lang w:val="es-AR" w:eastAsia="es-AR" w:bidi="es-AR"/>
        </w:rPr>
        <w:t xml:space="preserve">II) Contra dicho pronunciamiento se alzó la demandada mediante memorial de fecha 6/4/2026, articulando dos agravios: (1) que el a quo no habría ponderado que las deficiencias del inmueble le impidieron abonar regularmente el alquiler y que no medió compensación alguna por las reparaciones efectuadas; y (2) que pese al tiempo transcurrido desde el informe del Servicio Local de Protección y Promoción de Derechos de Niños, Niñas y Adolescentes (01/08/2025), el juez de grado no ordenó como medida de mejor proveer la actualización de dicho informe antes de resolver, ni verificó si la asistencia municipal mencionada por el Asesor de Menores se había concretado efectivamente.</w:t>
      </w:r>
    </w:p>
    <w:p>
      <w:pPr>
        <w:pStyle w:val="[Normal]"/>
        <w:spacing w:line="360" w:lineRule="auto"/>
        <w:ind w:firstLine="1134"/>
        <w:jc w:val="both"/>
        <w:rPr>
          <w:lang w:val="es-AR" w:eastAsia="es-AR" w:bidi="es-AR"/>
        </w:rPr>
      </w:pPr>
      <w:r>
        <w:rPr>
          <w:lang w:val="es-AR" w:eastAsia="es-AR" w:bidi="es-AR"/>
        </w:rPr>
        <w:t xml:space="preserve">III) A su turno la parte actora contestó los agravios solicitando la confirmación de la sentencia apelada, por entender que las quejas carecen de sustento jurídico y constituyen una estrategia dilatoria.</w:t>
      </w:r>
    </w:p>
    <w:p>
      <w:pPr>
        <w:pStyle w:val="[Normal]"/>
        <w:spacing w:line="360" w:lineRule="auto"/>
        <w:ind w:firstLine="1134"/>
        <w:jc w:val="both"/>
        <w:rPr>
          <w:lang w:val="es-AR" w:eastAsia="es-AR" w:bidi="es-AR"/>
        </w:rPr>
      </w:pPr>
      <w:r>
        <w:rPr>
          <w:lang w:val="es-AR" w:eastAsia="es-AR" w:bidi="es-AR"/>
        </w:rPr>
        <w:t xml:space="preserve">IV) Entrando a resolver e ingresando al tratamiento de la primera queja, cabe recordar que la obligación de pagar el canon locativo constituye la prestación principal a cargo del locatario (art. 1208 CCCN) y que su incumplimiento, verificado por dos o más períodos consecutivos, habilita al locador a resolver el contrato (art. 1219 inc. c) CCCN), en tanto se haya cumplido con la intimación fehaciente prevista en el art. 1222 CCCN, extremo que en autos no ha sido controvertido.</w:t>
      </w:r>
    </w:p>
    <w:p>
      <w:pPr>
        <w:pStyle w:val="[Normal]"/>
        <w:spacing w:line="360" w:lineRule="auto"/>
        <w:ind w:firstLine="1134"/>
        <w:jc w:val="both"/>
        <w:rPr>
          <w:lang w:val="es-AR" w:eastAsia="es-AR" w:bidi="es-AR"/>
        </w:rPr>
      </w:pPr>
      <w:r>
        <w:rPr>
          <w:lang w:val="es-AR" w:eastAsia="es-AR" w:bidi="es-AR"/>
        </w:rPr>
        <w:t xml:space="preserve">Que la existencia de desperfectos en el inmueble locado no autoriza, por sí sola, al locatario a suspender unilateralmente y sin más el pago del alquiler. El ordenamiento de fondo prevé mecanismos específicos para el caso de que la cosa locada presente defectos que afecten su uso y goce -reclamo de reparación, reducción proporcional del precio, o resolución contractual, según el caso (arts. 1201 y 1220 CCCN)-, mecanismos que la locataria no acreditó haber ejercido regularmente en sede judicial ni extrajudicial en forma fehaciente antes de dejar de abonar los cánones.</w:t>
      </w:r>
    </w:p>
    <w:p>
      <w:pPr>
        <w:pStyle w:val="[Normal]"/>
        <w:spacing w:line="360" w:lineRule="auto"/>
        <w:ind w:firstLine="1134"/>
        <w:jc w:val="both"/>
        <w:rPr>
          <w:lang w:val="es-AR" w:eastAsia="es-AR" w:bidi="es-AR"/>
        </w:rPr>
      </w:pPr>
      <w:r>
        <w:rPr>
          <w:lang w:val="es-AR" w:eastAsia="es-AR" w:bidi="es-AR"/>
        </w:rPr>
        <w:t xml:space="preserve">Que, en efecto, tal como lo señaló el sentenciante de grado, el propio informe socio-ambiental da cuenta de que la demandada reconoció haber dejado de pagar el alquiler "por el no reconocimiento del arreglo del aire acondicionado", lo cual evidencia que la decisión de no pagar no obedeció a la imposibilidad objetiva de hacerlo, sino a una decisión unilateral de compensación de un gasto no reconocido por la locadora, sin que conste que dicha compensación haya sido reclamada o consentida por la vía legal correspondiente (arg. art. 1075 CCCN).</w:t>
      </w:r>
    </w:p>
    <w:p>
      <w:pPr>
        <w:pStyle w:val="[Normal]"/>
        <w:spacing w:line="360" w:lineRule="auto"/>
        <w:ind w:firstLine="1134"/>
        <w:jc w:val="both"/>
        <w:rPr>
          <w:lang w:val="es-AR" w:eastAsia="es-AR" w:bidi="es-AR"/>
        </w:rPr>
      </w:pPr>
      <w:r>
        <w:rPr>
          <w:lang w:val="es-AR" w:eastAsia="es-AR" w:bidi="es-AR"/>
        </w:rPr>
        <w:t xml:space="preserve">Por otra parte, la apelante no acompañó en ninguna etapa del proceso comprobantes, presupuestos, facturas o recibos que permitan siquiera estimar la entidad económica de las reparaciones que dice haber afrontado, ni demostró haber cursado reclamo fehaciente a la locadora en tal sentido con carácter previo al incumplimiento. La sola mención genérica de "mínimos arreglos", sin prueba de su realización ni de su costo, resulta insuficiente para tener por acreditada una causal de justificación del incumplimiento locativo. </w:t>
      </w:r>
    </w:p>
    <w:p>
      <w:pPr>
        <w:pStyle w:val="[Normal]"/>
        <w:spacing w:line="360" w:lineRule="auto"/>
        <w:ind w:firstLine="1134"/>
        <w:jc w:val="both"/>
        <w:rPr>
          <w:lang w:val="es-AR" w:eastAsia="es-AR" w:bidi="es-AR"/>
        </w:rPr>
      </w:pPr>
      <w:r>
        <w:rPr>
          <w:lang w:val="es-AR" w:eastAsia="es-AR" w:bidi="es-AR"/>
        </w:rPr>
        <w:t xml:space="preserve">Que por los fundamentos expuestos, este Tribunal entiende que el agravio en examen no logra conmover los sólidos fundamentos de la sentencia de grado en cuanto tuvo por configurada la falta de pago y la consecuente procedencia sustancial del desalojo, por lo que corresponde su rechazo.</w:t>
      </w:r>
    </w:p>
    <w:p>
      <w:pPr>
        <w:pStyle w:val="[Normal]"/>
        <w:spacing w:line="360" w:lineRule="auto"/>
        <w:ind w:firstLine="1134"/>
        <w:jc w:val="both"/>
        <w:rPr>
          <w:lang w:val="es-AR" w:eastAsia="es-AR" w:bidi="es-AR"/>
        </w:rPr>
      </w:pPr>
      <w:r>
        <w:rPr>
          <w:lang w:val="es-AR" w:eastAsia="es-AR" w:bidi="es-AR"/>
        </w:rPr>
        <w:t xml:space="preserve">El segundo agravio que invoca la protección del interés superior de los menores: Que distinta suerte, en cambio, ha de correr la queja vinculada a la insuficiente actualización de la situación fáctica de los menores involucrados. Sabido es que en todo proceso en el que se encuentren comprometidos derechos de niños, niñas y adolescentes, el interés superior del niño constituye una directriz de ineludible observancia para los tribunales (art. 3, Convención sobre los Derechos del Niño; art. 3, Ley N° 26.061; art. 706 CCCN), lo que impone extremar los recaudos antes de disponer medidas que puedan afectar su estabilidad habitacional.</w:t>
      </w:r>
    </w:p>
    <w:p>
      <w:pPr>
        <w:pStyle w:val="[Normal]"/>
        <w:spacing w:line="360" w:lineRule="auto"/>
        <w:ind w:firstLine="1134"/>
        <w:jc w:val="both"/>
        <w:rPr>
          <w:lang w:val="es-AR" w:eastAsia="es-AR" w:bidi="es-AR"/>
        </w:rPr>
      </w:pPr>
      <w:r>
        <w:rPr>
          <w:lang w:val="es-AR" w:eastAsia="es-AR" w:bidi="es-AR"/>
        </w:rPr>
        <w:t xml:space="preserve">Que asiste razón a la apelante en cuanto señala que, entre la fecha del informe socio-ambiental producido por el Servicio Local de Protección y Promoción de Derechos (01/08/2025) y la fecha de la sentencia de grado (11/03/2026), transcurrieron más de siete meses, lapso durante el cual pudieron haber variado tanto la efectiva concreción de la asistencia municipal para la relocalización de la familia como el estado de salud de la progenitora, invocado en el memorial. El dictamen del Asesor de Menores que sirvió de sustento a la decisión de grado se apoyó, precisamente, en la premisa de que la locataria "ya recibe acompañamiento municipal para su relocalización", extremo cuya vigencia y efectividad no fue verificado en forma actualizada antes de disponerse el lanzamiento.</w:t>
      </w:r>
    </w:p>
    <w:p>
      <w:pPr>
        <w:pStyle w:val="[Normal]"/>
        <w:spacing w:line="360" w:lineRule="auto"/>
        <w:ind w:firstLine="1134"/>
        <w:jc w:val="both"/>
        <w:rPr>
          <w:lang w:val="es-AR" w:eastAsia="es-AR" w:bidi="es-AR"/>
        </w:rPr>
      </w:pPr>
      <w:r>
        <w:rPr>
          <w:lang w:val="es-AR" w:eastAsia="es-AR" w:bidi="es-AR"/>
        </w:rPr>
        <w:t xml:space="preserve">Que ello no implica, de modo alguno, cuestionar la procedencia sustancial del desalojo -que, como se dijera, encuentra fundamento autónomo y suficiente en la falta de pago comprobada-, sino garantizar que su ejecución se lleve a cabo de un modo que no desatienda la situación actual de los menores que habitan el inmueble, conforme lo exige el principio de protección integral de la infancia.</w:t>
      </w:r>
    </w:p>
    <w:p>
      <w:pPr>
        <w:pStyle w:val="[Normal]"/>
        <w:spacing w:line="360" w:lineRule="auto"/>
        <w:ind w:firstLine="1134"/>
        <w:jc w:val="both"/>
        <w:rPr>
          <w:lang w:val="es-AR" w:eastAsia="es-AR" w:bidi="es-AR"/>
        </w:rPr>
      </w:pPr>
      <w:r>
        <w:rPr>
          <w:lang w:val="es-AR" w:eastAsia="es-AR" w:bidi="es-AR"/>
        </w:rPr>
        <w:t xml:space="preserve">Que, en consecuencia, corresponde hacer lugar parcialmente a este agravio, no en cuanto a la revocación de la sentencia, sino en cuanto a las modalidades de su ejecución, disponiendo: (a) que en forma previa a hacerse efectivo el lanzamiento, el Juzgado de origen requiera al Servicio Local de Protección y Promoción de Derechos de Niños, Niñas y Adolescentes de Colón la producción de un informe actualizado sobre la situación habitacional y social del grupo familiar y el estado real de avance de las gestiones de relocalización; y (b) que se amplíe el plazo de desocupación fijado en la instancia de grado, llevándolo de diez (10) a treinta (30) días corridos, contados desde que la presente quede firme, a fin de otorgar un margen razonable para la reubicación de los menores, sin que ello importe alterar la resolución del contrato ya operada ni la procedencia del desalojo.</w:t>
      </w:r>
    </w:p>
    <w:p>
      <w:pPr>
        <w:pStyle w:val="[Normal]"/>
        <w:spacing w:line="360" w:lineRule="auto"/>
        <w:ind w:firstLine="1134"/>
        <w:jc w:val="both"/>
        <w:rPr>
          <w:lang w:val="es-AR" w:eastAsia="es-AR" w:bidi="es-AR"/>
        </w:rPr>
      </w:pPr>
      <w:r>
        <w:rPr>
          <w:lang w:val="es-AR" w:eastAsia="es-AR" w:bidi="es-AR"/>
        </w:rPr>
        <w:t xml:space="preserve">Que en atención a que el recurso prospera solo parcialmente, y a que el reclamo principal de la apelante -la revocación del desalojo- ha sido desestimado, corresponde imponer las costas de Alzada en un 80% a cargo de la parte demandada (art. 68, segundo párrafo, CPCCBA), ponderando que la actora resultó sustancialmente vencedora en cuanto a la procedencia de la acción, en tanto la demandada obtuvo una modificación parcial y razonable en las modalidades de ejecución de la sentencia.</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AFIRMATIVA </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la señora Jueza Graciela Scaraffia dijo: De conformidad al resultado habido al tratarse la cuestión precedente, estimo que el pronunciamiento que corresponde dictar es: </w:t>
      </w:r>
    </w:p>
    <w:p>
      <w:pPr>
        <w:pStyle w:val="[Normal]"/>
        <w:spacing w:line="360" w:lineRule="auto"/>
        <w:ind w:firstLine="1134"/>
        <w:jc w:val="both"/>
        <w:rPr>
          <w:lang w:val="es-AR" w:eastAsia="es-AR" w:bidi="es-AR"/>
        </w:rPr>
      </w:pPr>
      <w:r>
        <w:rPr>
          <w:lang w:val="es-AR" w:eastAsia="es-AR" w:bidi="es-AR"/>
        </w:rPr>
        <w:t xml:space="preserve">1) Rechazar el primer agravio interpuesto por la Sra. Pamela Estefania Campora relativo a las deficiencias del inmueble, confirmando la sentencia de grado en cuanto tuvo por configurada la falta de pago y dispuso hacer lugar a la demanda de desalojo promovida por la Sra. Elisa Rita Fernández.</w:t>
      </w:r>
    </w:p>
    <w:p>
      <w:pPr>
        <w:pStyle w:val="[Normal]"/>
        <w:spacing w:line="360" w:lineRule="auto"/>
        <w:ind w:firstLine="1134"/>
        <w:jc w:val="both"/>
        <w:rPr>
          <w:lang w:val="es-AR" w:eastAsia="es-AR" w:bidi="es-AR"/>
        </w:rPr>
      </w:pPr>
      <w:r>
        <w:rPr>
          <w:lang w:val="es-AR" w:eastAsia="es-AR" w:bidi="es-AR"/>
        </w:rPr>
        <w:t xml:space="preserve">2) Hacer lugar parcialmente al segundo agravio, relativo a la protección de los menores, y en consecuencia: a) Disponer que, en forma previa a hacerse efectivo el lanzamiento, el Juzgado de origen requiera al Servicio Local de Protección y Promoción de Derechos de Niños, Niñas y Adolescentes de Colón la producción de un informe socio-ambiental actualizado; b) Ampliar el plazo de desocupación fijado en la instancia de grado a treinta (30) días corridos desde que la presente quede firme.</w:t>
      </w:r>
    </w:p>
    <w:p>
      <w:pPr>
        <w:pStyle w:val="[Normal]"/>
        <w:spacing w:line="360" w:lineRule="auto"/>
        <w:ind w:firstLine="1134"/>
        <w:jc w:val="both"/>
        <w:rPr>
          <w:lang w:val="es-AR" w:eastAsia="es-AR" w:bidi="es-AR"/>
        </w:rPr>
      </w:pPr>
      <w:r>
        <w:rPr>
          <w:lang w:val="es-AR" w:eastAsia="es-AR" w:bidi="es-AR"/>
        </w:rPr>
        <w:t xml:space="preserve">3) Confirmar la sentencia apelada en todo lo demás que decide y fuera materia de agravio.</w:t>
      </w:r>
    </w:p>
    <w:p>
      <w:pPr>
        <w:pStyle w:val="[Normal]"/>
        <w:spacing w:line="360" w:lineRule="auto"/>
        <w:ind w:firstLine="1134"/>
        <w:jc w:val="both"/>
        <w:rPr>
          <w:lang w:val="es-AR" w:eastAsia="es-AR" w:bidi="es-AR"/>
        </w:rPr>
      </w:pPr>
      <w:r>
        <w:rPr>
          <w:lang w:val="es-AR" w:eastAsia="es-AR" w:bidi="es-AR"/>
        </w:rPr>
        <w:t xml:space="preserve">4) Distribuir las costas de Alzada en un 80% a cargo de la parte demandada y un 20% a la parte actora (art. 68, 2° párr., CPCCBA).</w:t>
      </w:r>
    </w:p>
    <w:p>
      <w:pPr>
        <w:pStyle w:val="[Normal]"/>
        <w:spacing w:line="360" w:lineRule="auto"/>
        <w:ind w:firstLine="1134"/>
        <w:jc w:val="both"/>
        <w:rPr>
          <w:lang w:val="es-AR" w:eastAsia="es-AR" w:bidi="es-AR"/>
        </w:rPr>
      </w:pPr>
      <w:r>
        <w:rPr>
          <w:b/>
          <w:lang w:val="es-AR" w:eastAsia="es-AR" w:bidi="es-AR"/>
        </w:rPr>
        <w:t xml:space="preserve">ASI LO VOTO. </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lang w:val="es-AR" w:eastAsia="es-AR" w:bidi="es-AR"/>
        </w:rPr>
        <w:t xml:space="preserve">S E N T E N C I A</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1) Rechazar el primer agravio interpuesto por la Sra. Pamela Estefania Campora relativo a las deficiencias del inmueble, confirmando la sentencia de grado en cuanto tuvo por configurada la falta de pago y dispuso hacer lugar a la demanda de desalojo promovida por la Sra. Elisa Rita Fernández.</w:t>
      </w:r>
    </w:p>
    <w:p>
      <w:pPr>
        <w:pStyle w:val="[Normal]"/>
        <w:spacing w:line="360" w:lineRule="auto"/>
        <w:ind w:firstLine="1134"/>
        <w:jc w:val="both"/>
        <w:rPr>
          <w:lang w:val="es-AR" w:eastAsia="es-AR" w:bidi="es-AR"/>
        </w:rPr>
      </w:pPr>
      <w:r>
        <w:rPr>
          <w:lang w:val="es-AR" w:eastAsia="es-AR" w:bidi="es-AR"/>
        </w:rPr>
        <w:t xml:space="preserve">2) Hacer lugar parcialmente al segundo agravio, relativo a la protección de los menores, y en consecuencia: a) Disponer que, en forma previa a hacerse efectivo el lanzamiento, el Juzgado de origen requiera al Servicio Local de Protección y Promoción de Derechos de Niños, Niñas y Adolescentes de Colón la producción de un informe socio-ambiental actualizado; b) Ampliar el plazo de desocupación fijado en la instancia de grado a treinta (30) días corridos desde que la presente quede firme.</w:t>
      </w:r>
    </w:p>
    <w:p>
      <w:pPr>
        <w:pStyle w:val="[Normal]"/>
        <w:spacing w:line="360" w:lineRule="auto"/>
        <w:ind w:firstLine="1134"/>
        <w:jc w:val="both"/>
        <w:rPr>
          <w:lang w:val="es-AR" w:eastAsia="es-AR" w:bidi="es-AR"/>
        </w:rPr>
      </w:pPr>
      <w:r>
        <w:rPr>
          <w:lang w:val="es-AR" w:eastAsia="es-AR" w:bidi="es-AR"/>
        </w:rPr>
        <w:t xml:space="preserve">3) Confirmar la sentencia apelada en todo lo demás que decide y fuera materia de agravio.</w:t>
      </w:r>
    </w:p>
    <w:p>
      <w:pPr>
        <w:pStyle w:val="[Normal]"/>
        <w:spacing w:line="360" w:lineRule="auto"/>
        <w:ind w:firstLine="1134"/>
        <w:jc w:val="both"/>
        <w:rPr>
          <w:lang w:val="es-AR" w:eastAsia="es-AR" w:bidi="es-AR"/>
        </w:rPr>
      </w:pPr>
      <w:r>
        <w:rPr>
          <w:lang w:val="es-AR" w:eastAsia="es-AR" w:bidi="es-AR"/>
        </w:rPr>
        <w:t xml:space="preserve">4) Distribuir las costas de Alzada en un 80% a cargo de la parte demandada y un 20% a la parte actora (art. 68, 2° párr., CPCCBA).</w:t>
      </w:r>
    </w:p>
    <w:p>
      <w:pPr>
        <w:pStyle w:val="[Normal]"/>
        <w:spacing w:line="360" w:lineRule="auto"/>
        <w:ind w:firstLine="1134"/>
        <w:jc w:val="both"/>
        <w:rPr>
          <w:color w:val="000000"/>
          <w:lang w:val="es-AR" w:eastAsia="es-AR" w:bidi="es-AR"/>
        </w:rPr>
      </w:pPr>
      <w:r>
        <w:rPr>
          <w:lang w:val="es-AR" w:eastAsia="es-AR" w:bidi="es-AR"/>
        </w:rPr>
        <w:t xml:space="preserve">Regístrese. Notifíquese por Secretaría (Ac. 4013 SCBA) remitiéndose copia digital de la presente sentencia a los domicilios electrónicos de las respectivas partes. Devuélvase.</w:t>
      </w: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20242980876@NOTIFICACIONES.SCBA.GOV.AR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10:54:07 -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10:54:29 -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13:40:20 - PELUSA Juan Cruz - AUXILIAR LETRADO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‰9P")è&amp;ƒ_ÀzŠ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254802090006996395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06/08/2026 13:40:30 hs. bajo el número RS-122-2026 por PELUSA JUAN.</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